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CD7F2" w14:textId="77777777" w:rsidR="00023F41" w:rsidRPr="00023F41" w:rsidRDefault="00023F41" w:rsidP="00023F41">
      <w:pPr>
        <w:spacing w:after="0" w:line="312"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sz w:val="32"/>
          <w:szCs w:val="32"/>
          <w:lang w:eastAsia="cs-CZ"/>
        </w:rPr>
        <w:t>Obecně závazná vyhláška č. 5 / 2011</w:t>
      </w:r>
    </w:p>
    <w:p w14:paraId="33B527BF" w14:textId="77777777" w:rsidR="00023F41" w:rsidRPr="00023F41" w:rsidRDefault="00023F41" w:rsidP="00023F41">
      <w:pPr>
        <w:spacing w:line="312"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sz w:val="28"/>
          <w:szCs w:val="28"/>
          <w:u w:val="single"/>
          <w:lang w:eastAsia="cs-CZ"/>
        </w:rPr>
        <w:t xml:space="preserve">o místním poplatku za provoz systému shromažďování, sběru, přepravy, třídění, využívání a odstraňování komunálních odpadů </w:t>
      </w:r>
    </w:p>
    <w:p w14:paraId="47C29324" w14:textId="77777777" w:rsidR="00023F41" w:rsidRPr="00023F41" w:rsidRDefault="00023F41" w:rsidP="00023F41">
      <w:pPr>
        <w:tabs>
          <w:tab w:val="left" w:pos="2977"/>
        </w:tabs>
        <w:spacing w:after="0" w:line="312" w:lineRule="auto"/>
        <w:jc w:val="both"/>
        <w:rPr>
          <w:rFonts w:ascii="Times New Roman" w:eastAsia="Times New Roman" w:hAnsi="Times New Roman" w:cs="Times New Roman"/>
          <w:sz w:val="24"/>
          <w:szCs w:val="24"/>
          <w:lang w:eastAsia="cs-CZ"/>
        </w:rPr>
      </w:pPr>
      <w:r w:rsidRPr="00023F41">
        <w:rPr>
          <w:rFonts w:ascii="Arial" w:eastAsia="Times New Roman" w:hAnsi="Arial" w:cs="Arial"/>
          <w:lang w:eastAsia="cs-CZ"/>
        </w:rPr>
        <w:t xml:space="preserve">Zastupitelstvo obce Kozlany se na svém zasedání dne 13.12 2011 usneslo vydat na základě § 14 odst. 2 zákona č. 565/1990 Sb., o místních poplatcích, ve znění pozdějších předpisů, v souladu s § 10 písm. d) a § 84 odst. 2 písm. h) zákona č. 128/2000 Sb., o obcích (obecní zřízení), ve znění pozdějších předpisů, tuto obecně závaznou vyhlášku (dále jen „vyhláška“): </w:t>
      </w:r>
    </w:p>
    <w:p w14:paraId="0E93B43B"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1</w:t>
      </w:r>
    </w:p>
    <w:p w14:paraId="53760157"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 xml:space="preserve">Úvodní ustanovení </w:t>
      </w:r>
    </w:p>
    <w:p w14:paraId="711E5280" w14:textId="77777777" w:rsidR="00023F41" w:rsidRPr="00023F41" w:rsidRDefault="00023F41" w:rsidP="00023F41">
      <w:pPr>
        <w:tabs>
          <w:tab w:val="num" w:pos="567"/>
        </w:tabs>
        <w:spacing w:after="0" w:line="312" w:lineRule="auto"/>
        <w:ind w:hanging="567"/>
        <w:rPr>
          <w:rFonts w:ascii="Times New Roman" w:eastAsia="Times New Roman" w:hAnsi="Times New Roman" w:cs="Times New Roman"/>
          <w:sz w:val="24"/>
          <w:szCs w:val="24"/>
          <w:lang w:eastAsia="cs-CZ"/>
        </w:rPr>
      </w:pPr>
      <w:r w:rsidRPr="00023F41">
        <w:rPr>
          <w:rFonts w:ascii="Arial" w:eastAsia="Arial" w:hAnsi="Arial" w:cs="Arial"/>
          <w:sz w:val="24"/>
          <w:lang w:eastAsia="cs-CZ"/>
        </w:rPr>
        <w:t>(1)</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Obec Kozlany touto vyhláškou zavádí místní poplatek za provoz systému shromažďování, sběru, přepravy, třídění, využívání a odstraňování komunálních odpadů (dále jen „poplatek“).</w:t>
      </w:r>
    </w:p>
    <w:p w14:paraId="334FE7EB" w14:textId="77777777" w:rsidR="00023F41" w:rsidRPr="00023F41" w:rsidRDefault="00023F41" w:rsidP="00023F41">
      <w:pPr>
        <w:tabs>
          <w:tab w:val="num" w:pos="567"/>
        </w:tabs>
        <w:spacing w:after="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(2)</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Řízení o poplatcích vykonává obecní úřad Kozlany (dále jen „správce poplatku“).</w:t>
      </w:r>
      <w:r w:rsidRPr="00023F41">
        <w:rPr>
          <w:rFonts w:ascii="Arial" w:eastAsia="Times New Roman" w:hAnsi="Arial" w:cs="Arial"/>
          <w:lang w:eastAsia="cs-CZ"/>
        </w:rPr>
        <w:footnoteReference w:id="1"/>
      </w:r>
      <w:r w:rsidRPr="00023F41">
        <w:rPr>
          <w:rFonts w:ascii="Arial" w:eastAsia="Times New Roman" w:hAnsi="Arial" w:cs="Arial"/>
          <w:lang w:eastAsia="ar-SA"/>
        </w:rPr>
        <w:t>[1]</w:t>
      </w:r>
    </w:p>
    <w:p w14:paraId="1B81001C"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2</w:t>
      </w:r>
    </w:p>
    <w:p w14:paraId="3EEDEE91"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Poplatník</w:t>
      </w:r>
    </w:p>
    <w:p w14:paraId="48E5F396" w14:textId="77777777" w:rsidR="00023F41" w:rsidRPr="00023F41" w:rsidRDefault="00023F41" w:rsidP="00023F41">
      <w:pPr>
        <w:spacing w:after="0" w:line="264" w:lineRule="auto"/>
        <w:jc w:val="both"/>
        <w:rPr>
          <w:rFonts w:ascii="Times New Roman" w:eastAsia="Times New Roman" w:hAnsi="Times New Roman" w:cs="Times New Roman"/>
          <w:sz w:val="24"/>
          <w:szCs w:val="24"/>
          <w:lang w:eastAsia="cs-CZ"/>
        </w:rPr>
      </w:pPr>
      <w:r w:rsidRPr="00023F41">
        <w:rPr>
          <w:rFonts w:ascii="Arial" w:eastAsia="Times New Roman" w:hAnsi="Arial" w:cs="Arial"/>
          <w:lang w:eastAsia="cs-CZ"/>
        </w:rPr>
        <w:t>Poplatek za provoz systému shromažďování, sběru, přepravy, třídění, využívání a odstraňování komunálních odpadů platí</w:t>
      </w:r>
      <w:r w:rsidRPr="00023F41">
        <w:rPr>
          <w:rFonts w:ascii="Arial" w:eastAsia="Times New Roman" w:hAnsi="Arial" w:cs="Arial"/>
          <w:lang w:eastAsia="cs-CZ"/>
        </w:rPr>
        <w:footnoteReference w:id="2"/>
      </w:r>
      <w:r w:rsidRPr="00023F41">
        <w:rPr>
          <w:rFonts w:ascii="Arial" w:eastAsia="Times New Roman" w:hAnsi="Arial" w:cs="Arial"/>
          <w:lang w:eastAsia="ar-SA"/>
        </w:rPr>
        <w:t>[2]</w:t>
      </w:r>
      <w:r w:rsidRPr="00023F41">
        <w:rPr>
          <w:rFonts w:ascii="Arial" w:eastAsia="Times New Roman" w:hAnsi="Arial" w:cs="Arial"/>
          <w:lang w:eastAsia="cs-CZ"/>
        </w:rPr>
        <w:t>:</w:t>
      </w:r>
    </w:p>
    <w:p w14:paraId="38BEA333" w14:textId="77777777" w:rsidR="00023F41" w:rsidRPr="00023F41" w:rsidRDefault="00023F41" w:rsidP="00023F41">
      <w:pPr>
        <w:tabs>
          <w:tab w:val="num" w:pos="567"/>
          <w:tab w:val="left" w:pos="3780"/>
        </w:tabs>
        <w:spacing w:after="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(1)</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fyzická osoba, která má v obci trvalý pobyt; za domácnost může být poplatek odváděn společným zástupcem, za rodinný nebo bytový dům vlastníkem nebo správcem; tyto osoby jsou povinny obci oznámit jména a data narození osob, za které poplatek odvádějí,</w:t>
      </w:r>
    </w:p>
    <w:p w14:paraId="0487AFFA" w14:textId="77777777" w:rsidR="00023F41" w:rsidRPr="00023F41" w:rsidRDefault="00023F41" w:rsidP="00023F41">
      <w:pPr>
        <w:tabs>
          <w:tab w:val="num" w:pos="567"/>
          <w:tab w:val="left" w:pos="3780"/>
        </w:tabs>
        <w:spacing w:after="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(2)</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fyzická osoba, která má ve vlastnictví stavbu určenou nebo sloužící k individuální rekreaci, ve které není hlášena k trvalému pobytu žádná fyzická osoba; má-li k této stavbě vlastnické právo více osob, jsou povinny platit poplatek společně a nerozdílně, a to ve výši odpovídající poplatku za jednu fyzickou osobu.</w:t>
      </w:r>
    </w:p>
    <w:p w14:paraId="6476B221"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3</w:t>
      </w:r>
    </w:p>
    <w:p w14:paraId="389C918D"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Ohlašovací povinnost</w:t>
      </w:r>
    </w:p>
    <w:p w14:paraId="6988A7D6" w14:textId="77777777" w:rsidR="00023F41" w:rsidRPr="00023F41" w:rsidRDefault="00023F41" w:rsidP="00023F41">
      <w:pPr>
        <w:tabs>
          <w:tab w:val="num" w:pos="567"/>
        </w:tabs>
        <w:spacing w:after="6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(1)</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 xml:space="preserve">Poplatník je povinen ohlásit správci poplatku vznik své poplatkové povinnosti nejpozději do 15 dnů ode dne, kdy mu povinnost platit tento poplatek vznikla, případně doložit existenci skutečností zakládajících osvobození nebo úlevu od poplatkové povinnosti. </w:t>
      </w:r>
    </w:p>
    <w:p w14:paraId="3A9B9FDF" w14:textId="77777777" w:rsidR="00023F41" w:rsidRPr="00023F41" w:rsidRDefault="00023F41" w:rsidP="00023F41">
      <w:pPr>
        <w:tabs>
          <w:tab w:val="num" w:pos="567"/>
        </w:tabs>
        <w:spacing w:after="6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(2)</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 xml:space="preserve">Poplatník podle Článku 2 odstavce 2) této vyhlášky je povinen ohlásit správci poplatku zejména příjmení, jméno, bydliště, popřípadě další adresy pro doručování, evidenční nebo popisné číslo stavby určené nebo sloužící k individuální rekreaci, není-li tato stavba označena evidenčním nebo popisným číslem číslo parcelní pozemku, na kterém je tato stavba umístěna. </w:t>
      </w:r>
    </w:p>
    <w:p w14:paraId="7F5113C3" w14:textId="77777777" w:rsidR="00023F41" w:rsidRPr="00023F41" w:rsidRDefault="00023F41" w:rsidP="00023F41">
      <w:pPr>
        <w:tabs>
          <w:tab w:val="num" w:pos="567"/>
        </w:tabs>
        <w:spacing w:after="6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(3)</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Stejným způsobem a ve stejné lhůtě jsou poplatníci povinni ohlásit správci poplatku zánik své poplatkové povinnosti v důsledku změny trvalého pobytu nebo v důsledku změny vlastnictví ke stavbě určené nebo sloužící k individuální rekreaci.</w:t>
      </w:r>
    </w:p>
    <w:p w14:paraId="6470134D" w14:textId="77777777" w:rsidR="00023F41" w:rsidRPr="00023F41" w:rsidRDefault="00023F41" w:rsidP="00023F41">
      <w:pPr>
        <w:tabs>
          <w:tab w:val="num" w:pos="567"/>
        </w:tabs>
        <w:spacing w:after="6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(4)</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 xml:space="preserve">Poplatník, který nemá sídlo nebo bydliště na území členského státu Evropské unie, jiného smluvního státu Dohody o Evropském hospodářském prostoru nebo Švýcarské konfederace, </w:t>
      </w:r>
      <w:r w:rsidRPr="00023F41">
        <w:rPr>
          <w:rFonts w:ascii="Arial" w:eastAsia="Times New Roman" w:hAnsi="Arial" w:cs="Arial"/>
          <w:lang w:eastAsia="cs-CZ"/>
        </w:rPr>
        <w:lastRenderedPageBreak/>
        <w:t>uvede kromě údajů požadovaných v odstavci 2 adresu svého zmocněnce v tuzemsku pro doručování.</w:t>
      </w:r>
      <w:r w:rsidRPr="00023F41">
        <w:rPr>
          <w:rFonts w:ascii="Arial" w:eastAsia="Times New Roman" w:hAnsi="Arial" w:cs="Arial"/>
          <w:lang w:eastAsia="cs-CZ"/>
        </w:rPr>
        <w:footnoteReference w:id="3"/>
      </w:r>
      <w:r w:rsidRPr="00023F41">
        <w:rPr>
          <w:rFonts w:ascii="Arial" w:eastAsia="Times New Roman" w:hAnsi="Arial" w:cs="Arial"/>
          <w:lang w:eastAsia="ar-SA"/>
        </w:rPr>
        <w:t>[3]</w:t>
      </w:r>
    </w:p>
    <w:p w14:paraId="3AA16DBB" w14:textId="77777777" w:rsidR="00023F41" w:rsidRPr="00023F41" w:rsidRDefault="00023F41" w:rsidP="00023F41">
      <w:pPr>
        <w:tabs>
          <w:tab w:val="num" w:pos="567"/>
        </w:tabs>
        <w:spacing w:after="0" w:line="288"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szCs w:val="24"/>
          <w:lang w:eastAsia="cs-CZ"/>
        </w:rPr>
        <w:t>(5)</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Dojde-li ke změně údajů uvedených v ohlášení, je poplatník nebo plátce povinen tuto změnu oznámit do 15 dnů ode dne, kdy nastala.</w:t>
      </w:r>
      <w:r w:rsidRPr="00023F41">
        <w:rPr>
          <w:rFonts w:ascii="Arial" w:eastAsia="Times New Roman" w:hAnsi="Arial" w:cs="Arial"/>
          <w:lang w:eastAsia="cs-CZ"/>
        </w:rPr>
        <w:footnoteReference w:id="4"/>
      </w:r>
      <w:r w:rsidRPr="00023F41">
        <w:rPr>
          <w:rFonts w:ascii="Arial" w:eastAsia="Times New Roman" w:hAnsi="Arial" w:cs="Arial"/>
          <w:lang w:eastAsia="ar-SA"/>
        </w:rPr>
        <w:t>[4]</w:t>
      </w:r>
    </w:p>
    <w:p w14:paraId="5DFB62F8"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4</w:t>
      </w:r>
    </w:p>
    <w:p w14:paraId="10109B3D"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Sazba poplatku</w:t>
      </w:r>
    </w:p>
    <w:p w14:paraId="68203026"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(1)</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Sazba poplatku pro poplatníka podle Článku 2 odst. 1 a 2 činí 400,- Kč a je tvořena:</w:t>
      </w:r>
    </w:p>
    <w:p w14:paraId="35E41C77" w14:textId="77777777" w:rsidR="00023F41" w:rsidRPr="00023F41" w:rsidRDefault="00023F41" w:rsidP="00023F41">
      <w:pPr>
        <w:tabs>
          <w:tab w:val="num" w:pos="1021"/>
          <w:tab w:val="left" w:pos="2520"/>
        </w:tabs>
        <w:spacing w:after="0" w:line="240" w:lineRule="auto"/>
        <w:ind w:hanging="454"/>
        <w:rPr>
          <w:rFonts w:ascii="Times New Roman" w:eastAsia="Times New Roman" w:hAnsi="Times New Roman" w:cs="Times New Roman"/>
          <w:sz w:val="24"/>
          <w:szCs w:val="24"/>
          <w:lang w:eastAsia="cs-CZ"/>
        </w:rPr>
      </w:pPr>
      <w:r w:rsidRPr="00023F41">
        <w:rPr>
          <w:rFonts w:ascii="Arial" w:eastAsia="Arial" w:hAnsi="Arial" w:cs="Arial"/>
          <w:lang w:eastAsia="cs-CZ"/>
        </w:rPr>
        <w:t>a)</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z částky 150,- Kč za kalendářní rok a</w:t>
      </w:r>
    </w:p>
    <w:p w14:paraId="0B24C1F9" w14:textId="77777777" w:rsidR="00023F41" w:rsidRPr="00023F41" w:rsidRDefault="00023F41" w:rsidP="00023F41">
      <w:pPr>
        <w:tabs>
          <w:tab w:val="num" w:pos="1021"/>
          <w:tab w:val="left" w:pos="2520"/>
        </w:tabs>
        <w:spacing w:after="0" w:line="240" w:lineRule="auto"/>
        <w:ind w:hanging="454"/>
        <w:rPr>
          <w:rFonts w:ascii="Times New Roman" w:eastAsia="Times New Roman" w:hAnsi="Times New Roman" w:cs="Times New Roman"/>
          <w:sz w:val="24"/>
          <w:szCs w:val="24"/>
          <w:lang w:eastAsia="cs-CZ"/>
        </w:rPr>
      </w:pPr>
      <w:r w:rsidRPr="00023F41">
        <w:rPr>
          <w:rFonts w:ascii="Arial" w:eastAsia="Arial" w:hAnsi="Arial" w:cs="Arial"/>
          <w:lang w:eastAsia="cs-CZ"/>
        </w:rPr>
        <w:t>b)</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z částky 250,- Kč za kalendářní rok. Tato částka je stanovena na základě skutečných nákladů obce předchozího roku na sběr a svoz netříděného komunálního odpadu za poplatníka a kalendářní rok.</w:t>
      </w:r>
    </w:p>
    <w:p w14:paraId="1C321E8A" w14:textId="77777777" w:rsidR="00023F41" w:rsidRPr="00023F41" w:rsidRDefault="00023F41" w:rsidP="00023F41">
      <w:pPr>
        <w:tabs>
          <w:tab w:val="num" w:pos="567"/>
        </w:tabs>
        <w:spacing w:after="12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iCs/>
          <w:sz w:val="24"/>
          <w:lang w:eastAsia="cs-CZ"/>
        </w:rPr>
        <w:t>(2)</w:t>
      </w:r>
      <w:r w:rsidRPr="00023F41">
        <w:rPr>
          <w:rFonts w:ascii="Times New Roman" w:eastAsia="Arial" w:hAnsi="Times New Roman" w:cs="Times New Roman"/>
          <w:iCs/>
          <w:sz w:val="14"/>
          <w:szCs w:val="14"/>
          <w:lang w:eastAsia="cs-CZ"/>
        </w:rPr>
        <w:t xml:space="preserve"> </w:t>
      </w:r>
      <w:r w:rsidRPr="00023F41">
        <w:rPr>
          <w:rFonts w:ascii="Arial" w:eastAsia="Times New Roman" w:hAnsi="Arial" w:cs="Arial"/>
          <w:iCs/>
          <w:lang w:eastAsia="cs-CZ"/>
        </w:rPr>
        <w:t>Rozúčtování skutečných nákladů obce předchozího roku na sběr a svoz netříděného komunálního odpadu za osobu je obsaženo v příloze, která tvoří nedílnou součást této vyhlášky.“</w:t>
      </w:r>
    </w:p>
    <w:p w14:paraId="49CA46A2"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(3)</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V případě změny místa trvalého pobytu nebo změny vlastnictví stavby, která je určena nebo slouží k individuální rekreaci v průběhu kalendářního roku, se uhradí poplatek v poměrné výši, která odpovídá počtu kalendářních měsíců pobytu nebo vlastnictví stavby v příslušném kalendářním roce. Dojde-li ke změně v průběhu kalendářního měsíce, je pro stanovení počtu měsíců rozhodný stav na konci tohoto měsíce.</w:t>
      </w:r>
      <w:r w:rsidRPr="00023F41">
        <w:rPr>
          <w:rFonts w:ascii="Arial" w:eastAsia="Times New Roman" w:hAnsi="Arial" w:cs="Arial"/>
          <w:lang w:eastAsia="cs-CZ"/>
        </w:rPr>
        <w:footnoteReference w:id="5"/>
      </w:r>
      <w:r w:rsidRPr="00023F41">
        <w:rPr>
          <w:rFonts w:ascii="Arial" w:eastAsia="Times New Roman" w:hAnsi="Arial" w:cs="Arial"/>
          <w:lang w:eastAsia="ar-SA"/>
        </w:rPr>
        <w:t>[5]</w:t>
      </w:r>
    </w:p>
    <w:p w14:paraId="70049F06" w14:textId="77777777" w:rsidR="00023F41" w:rsidRPr="00023F41" w:rsidRDefault="00023F41" w:rsidP="00023F41">
      <w:pPr>
        <w:spacing w:after="0" w:line="264"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lang w:eastAsia="cs-CZ"/>
        </w:rPr>
        <w:t>Článek 5</w:t>
      </w:r>
    </w:p>
    <w:p w14:paraId="7C5591C7"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Splatnost poplatku</w:t>
      </w:r>
    </w:p>
    <w:p w14:paraId="79C66F02"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(1)</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 xml:space="preserve">Poplatek pro poplatníka podle Článku 2 odstavce 1) této vyhlášky je splatný ve dvou stejných splátkách, vždy nejpozději </w:t>
      </w:r>
      <w:r w:rsidRPr="00023F41">
        <w:rPr>
          <w:rFonts w:ascii="Arial" w:eastAsia="Times New Roman" w:hAnsi="Arial" w:cs="Arial"/>
          <w:b/>
          <w:lang w:eastAsia="cs-CZ"/>
        </w:rPr>
        <w:t>do 30. června a do 30. listopadu</w:t>
      </w:r>
      <w:r w:rsidRPr="00023F41">
        <w:rPr>
          <w:rFonts w:ascii="Arial" w:eastAsia="Times New Roman" w:hAnsi="Arial" w:cs="Arial"/>
          <w:lang w:eastAsia="cs-CZ"/>
        </w:rPr>
        <w:t xml:space="preserve"> příslušného kalendářního roku.</w:t>
      </w:r>
    </w:p>
    <w:p w14:paraId="4C9D9956"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(2)</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 xml:space="preserve">Poplatek pro poplatníka podle Článku 2 odstavce 2) této vyhlášky je splatný jednorázově nejpozději </w:t>
      </w:r>
      <w:r w:rsidRPr="00023F41">
        <w:rPr>
          <w:rFonts w:ascii="Arial" w:eastAsia="Times New Roman" w:hAnsi="Arial" w:cs="Arial"/>
          <w:b/>
          <w:lang w:eastAsia="cs-CZ"/>
        </w:rPr>
        <w:t>do 30. června</w:t>
      </w:r>
      <w:r w:rsidRPr="00023F41">
        <w:rPr>
          <w:rFonts w:ascii="Arial" w:eastAsia="Times New Roman" w:hAnsi="Arial" w:cs="Arial"/>
          <w:lang w:eastAsia="cs-CZ"/>
        </w:rPr>
        <w:t xml:space="preserve"> příslušného kalendářního roku.</w:t>
      </w:r>
    </w:p>
    <w:p w14:paraId="55104A96"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(3)</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Vznikne-li poplatková povinnost po datu splatnosti uvedeném v odst. 1, je poplatek splatný nejpozději do 15. dne měsíce, který následuje po měsíci, ve kterém poplatková povinnost vznikla, nejpozději však do konce příslušného kalendářního roku.</w:t>
      </w:r>
    </w:p>
    <w:p w14:paraId="6D0A4E3B"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6</w:t>
      </w:r>
    </w:p>
    <w:p w14:paraId="3F68234C"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Navýšení poplatku</w:t>
      </w:r>
      <w:r w:rsidRPr="00023F41">
        <w:rPr>
          <w:rFonts w:ascii="Times New Roman" w:eastAsia="Times New Roman" w:hAnsi="Times New Roman" w:cs="Times New Roman"/>
          <w:lang w:eastAsia="cs-CZ"/>
        </w:rPr>
        <w:t xml:space="preserve"> </w:t>
      </w:r>
    </w:p>
    <w:p w14:paraId="191EE9D0"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(1)</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Nebudou-li poplatky zaplaceny poplatníkem včas nebo ve správné výši, vyměří mu obecní úřad poplatek platebním výměrem nebo hromadným předpisným seznamem.</w:t>
      </w:r>
      <w:r w:rsidRPr="00023F41">
        <w:rPr>
          <w:rFonts w:ascii="Arial" w:eastAsia="Times New Roman" w:hAnsi="Arial" w:cs="Arial"/>
          <w:lang w:eastAsia="cs-CZ"/>
        </w:rPr>
        <w:footnoteReference w:id="6"/>
      </w:r>
      <w:r w:rsidRPr="00023F41">
        <w:rPr>
          <w:rFonts w:ascii="Arial" w:eastAsia="Times New Roman" w:hAnsi="Arial" w:cs="Arial"/>
          <w:lang w:eastAsia="ar-SA"/>
        </w:rPr>
        <w:t>[6]</w:t>
      </w:r>
    </w:p>
    <w:p w14:paraId="51FC83D0" w14:textId="77777777" w:rsidR="00023F41" w:rsidRPr="00023F41" w:rsidRDefault="00023F41" w:rsidP="00023F41">
      <w:pPr>
        <w:tabs>
          <w:tab w:val="num" w:pos="567"/>
        </w:tabs>
        <w:spacing w:after="0" w:line="264" w:lineRule="auto"/>
        <w:ind w:hanging="567"/>
        <w:jc w:val="both"/>
        <w:rPr>
          <w:rFonts w:ascii="Times New Roman" w:eastAsia="Times New Roman" w:hAnsi="Times New Roman" w:cs="Times New Roman"/>
          <w:sz w:val="24"/>
          <w:szCs w:val="24"/>
          <w:lang w:eastAsia="cs-CZ"/>
        </w:rPr>
      </w:pPr>
      <w:r w:rsidRPr="00023F41">
        <w:rPr>
          <w:rFonts w:ascii="Arial" w:eastAsia="Arial" w:hAnsi="Arial" w:cs="Arial"/>
          <w:sz w:val="24"/>
          <w:lang w:eastAsia="cs-CZ"/>
        </w:rPr>
        <w:t>(2)</w:t>
      </w:r>
      <w:r w:rsidRPr="00023F41">
        <w:rPr>
          <w:rFonts w:ascii="Times New Roman" w:eastAsia="Arial" w:hAnsi="Times New Roman" w:cs="Times New Roman"/>
          <w:sz w:val="14"/>
          <w:szCs w:val="14"/>
          <w:lang w:eastAsia="cs-CZ"/>
        </w:rPr>
        <w:t xml:space="preserve"> </w:t>
      </w:r>
      <w:r w:rsidRPr="00023F41">
        <w:rPr>
          <w:rFonts w:ascii="Arial" w:eastAsia="Times New Roman" w:hAnsi="Arial" w:cs="Arial"/>
          <w:lang w:eastAsia="cs-CZ"/>
        </w:rPr>
        <w:t>Včas nezaplacené nebo neodvedené poplatky nebo část těchto poplatků může obecní úřad zvýšit až na trojnásobek; toto zvýšení je příslušenstvím poplatku.</w:t>
      </w:r>
      <w:r w:rsidRPr="00023F41">
        <w:rPr>
          <w:rFonts w:ascii="Arial" w:eastAsia="Times New Roman" w:hAnsi="Arial" w:cs="Arial"/>
          <w:lang w:eastAsia="cs-CZ"/>
        </w:rPr>
        <w:footnoteReference w:id="7"/>
      </w:r>
      <w:r w:rsidRPr="00023F41">
        <w:rPr>
          <w:rFonts w:ascii="Arial" w:eastAsia="Times New Roman" w:hAnsi="Arial" w:cs="Arial"/>
          <w:lang w:eastAsia="ar-SA"/>
        </w:rPr>
        <w:t>[7]</w:t>
      </w:r>
    </w:p>
    <w:p w14:paraId="5F59A5B1"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7</w:t>
      </w:r>
    </w:p>
    <w:p w14:paraId="0D365D0F"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Zrušovací ustanovení</w:t>
      </w:r>
    </w:p>
    <w:p w14:paraId="799CAF2F" w14:textId="77777777" w:rsidR="00023F41" w:rsidRPr="00023F41" w:rsidRDefault="00023F41" w:rsidP="00023F41">
      <w:pPr>
        <w:spacing w:after="0" w:line="264" w:lineRule="auto"/>
        <w:jc w:val="both"/>
        <w:rPr>
          <w:rFonts w:ascii="Times New Roman" w:eastAsia="Times New Roman" w:hAnsi="Times New Roman" w:cs="Times New Roman"/>
          <w:sz w:val="24"/>
          <w:szCs w:val="24"/>
          <w:lang w:eastAsia="cs-CZ"/>
        </w:rPr>
      </w:pPr>
      <w:r w:rsidRPr="00023F41">
        <w:rPr>
          <w:rFonts w:ascii="Arial" w:eastAsia="Times New Roman" w:hAnsi="Arial" w:cs="Arial"/>
          <w:lang w:eastAsia="cs-CZ"/>
        </w:rPr>
        <w:t>Zrušuje se obecně závazná vyhláška č. 6/2008, ze dne 12. 12. 2008 o místním poplatku za provoz systému shromažďování, sběru, přepravy, třídění, využívání a odstraňování komunálních odpadů.</w:t>
      </w:r>
    </w:p>
    <w:p w14:paraId="0AF99AC2"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t>Článek 8</w:t>
      </w:r>
    </w:p>
    <w:p w14:paraId="24B2C18C"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lang w:eastAsia="cs-CZ"/>
        </w:rPr>
        <w:lastRenderedPageBreak/>
        <w:t>Účinnost</w:t>
      </w:r>
    </w:p>
    <w:p w14:paraId="78B7CCC1" w14:textId="2EC82712" w:rsidR="00023F41" w:rsidRDefault="00023F41" w:rsidP="00023F41">
      <w:pPr>
        <w:spacing w:after="0" w:line="264" w:lineRule="auto"/>
        <w:jc w:val="center"/>
        <w:rPr>
          <w:rFonts w:ascii="Arial" w:eastAsia="Times New Roman" w:hAnsi="Arial" w:cs="Arial"/>
          <w:lang w:eastAsia="cs-CZ"/>
        </w:rPr>
      </w:pPr>
      <w:r w:rsidRPr="00023F41">
        <w:rPr>
          <w:rFonts w:ascii="Arial" w:eastAsia="Times New Roman" w:hAnsi="Arial" w:cs="Arial"/>
          <w:lang w:eastAsia="cs-CZ"/>
        </w:rPr>
        <w:t>Tato vyhláška nabývá účinnosti patnáctým dnem po vyhlášení.</w:t>
      </w:r>
    </w:p>
    <w:p w14:paraId="4F8FA0D3" w14:textId="54199CD6" w:rsidR="00023F41" w:rsidRDefault="00023F41" w:rsidP="00023F41">
      <w:pPr>
        <w:spacing w:after="0" w:line="264" w:lineRule="auto"/>
        <w:jc w:val="center"/>
        <w:rPr>
          <w:rFonts w:ascii="Arial" w:eastAsia="Times New Roman" w:hAnsi="Arial" w:cs="Arial"/>
          <w:lang w:eastAsia="cs-CZ"/>
        </w:rPr>
      </w:pPr>
    </w:p>
    <w:p w14:paraId="75A2A3F1" w14:textId="7B784B75" w:rsidR="00023F41" w:rsidRDefault="00023F41" w:rsidP="00023F41">
      <w:pPr>
        <w:spacing w:after="0" w:line="264" w:lineRule="auto"/>
        <w:jc w:val="center"/>
        <w:rPr>
          <w:rFonts w:ascii="Arial" w:eastAsia="Times New Roman" w:hAnsi="Arial" w:cs="Arial"/>
          <w:lang w:eastAsia="cs-CZ"/>
        </w:rPr>
      </w:pPr>
    </w:p>
    <w:p w14:paraId="50F3D1E5" w14:textId="34C82AEA" w:rsidR="00023F41" w:rsidRDefault="00023F41" w:rsidP="00023F41">
      <w:pPr>
        <w:spacing w:after="0" w:line="264" w:lineRule="auto"/>
        <w:jc w:val="center"/>
        <w:rPr>
          <w:rFonts w:ascii="Arial" w:eastAsia="Times New Roman" w:hAnsi="Arial" w:cs="Arial"/>
          <w:lang w:eastAsia="cs-CZ"/>
        </w:rPr>
      </w:pPr>
    </w:p>
    <w:p w14:paraId="7E231BFC" w14:textId="23F58F9B" w:rsidR="00023F41" w:rsidRDefault="00023F41" w:rsidP="00023F41">
      <w:pPr>
        <w:spacing w:after="0" w:line="264" w:lineRule="auto"/>
        <w:jc w:val="center"/>
        <w:rPr>
          <w:rFonts w:ascii="Arial" w:eastAsia="Times New Roman" w:hAnsi="Arial" w:cs="Arial"/>
          <w:lang w:eastAsia="cs-CZ"/>
        </w:rPr>
      </w:pPr>
    </w:p>
    <w:p w14:paraId="1E92E6EE" w14:textId="77777777" w:rsidR="00023F41" w:rsidRPr="00023F41" w:rsidRDefault="00023F41" w:rsidP="00023F41">
      <w:pPr>
        <w:spacing w:after="0" w:line="264" w:lineRule="auto"/>
        <w:jc w:val="center"/>
        <w:rPr>
          <w:rFonts w:ascii="Times New Roman" w:eastAsia="Times New Roman" w:hAnsi="Times New Roman" w:cs="Times New Roman"/>
          <w:sz w:val="24"/>
          <w:szCs w:val="24"/>
          <w:lang w:eastAsia="cs-CZ"/>
        </w:rPr>
      </w:pPr>
    </w:p>
    <w:tbl>
      <w:tblPr>
        <w:tblW w:w="0" w:type="auto"/>
        <w:tblInd w:w="70" w:type="dxa"/>
        <w:tblLayout w:type="fixed"/>
        <w:tblCellMar>
          <w:left w:w="70" w:type="dxa"/>
          <w:right w:w="70" w:type="dxa"/>
        </w:tblCellMar>
        <w:tblLook w:val="04A0" w:firstRow="1" w:lastRow="0" w:firstColumn="1" w:lastColumn="0" w:noHBand="0" w:noVBand="1"/>
      </w:tblPr>
      <w:tblGrid>
        <w:gridCol w:w="3047"/>
        <w:gridCol w:w="1559"/>
        <w:gridCol w:w="1560"/>
        <w:gridCol w:w="3046"/>
      </w:tblGrid>
      <w:tr w:rsidR="00023F41" w:rsidRPr="00023F41" w14:paraId="44537DE8" w14:textId="77777777" w:rsidTr="00023F41">
        <w:tc>
          <w:tcPr>
            <w:tcW w:w="3047" w:type="dxa"/>
            <w:tcBorders>
              <w:top w:val="single" w:sz="4" w:space="0" w:color="000000"/>
              <w:left w:val="nil"/>
              <w:bottom w:val="nil"/>
              <w:right w:val="nil"/>
            </w:tcBorders>
            <w:hideMark/>
          </w:tcPr>
          <w:p w14:paraId="3E371175"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lang w:eastAsia="cs-CZ"/>
              </w:rPr>
              <w:t>Jiří Vala</w:t>
            </w:r>
          </w:p>
          <w:p w14:paraId="61A58D65" w14:textId="77777777" w:rsidR="00023F41" w:rsidRPr="00023F41" w:rsidRDefault="00023F41" w:rsidP="00023F41">
            <w:pPr>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lang w:eastAsia="cs-CZ"/>
              </w:rPr>
              <w:t>místostarosta obce</w:t>
            </w:r>
          </w:p>
        </w:tc>
        <w:tc>
          <w:tcPr>
            <w:tcW w:w="1559" w:type="dxa"/>
            <w:hideMark/>
          </w:tcPr>
          <w:p w14:paraId="272E3801" w14:textId="77777777" w:rsidR="00023F41" w:rsidRPr="00023F41" w:rsidRDefault="00023F41" w:rsidP="00023F41">
            <w:pPr>
              <w:spacing w:after="0" w:line="240" w:lineRule="auto"/>
              <w:jc w:val="center"/>
              <w:rPr>
                <w:rFonts w:ascii="Times New Roman" w:eastAsia="Times New Roman" w:hAnsi="Times New Roman" w:cs="Times New Roman"/>
                <w:sz w:val="24"/>
                <w:szCs w:val="24"/>
                <w:lang w:eastAsia="cs-CZ"/>
              </w:rPr>
            </w:pPr>
          </w:p>
        </w:tc>
        <w:tc>
          <w:tcPr>
            <w:tcW w:w="1560" w:type="dxa"/>
            <w:hideMark/>
          </w:tcPr>
          <w:p w14:paraId="33274FD0" w14:textId="77777777" w:rsidR="00023F41" w:rsidRPr="00023F41" w:rsidRDefault="00023F41" w:rsidP="00023F41">
            <w:pPr>
              <w:spacing w:after="0" w:line="240" w:lineRule="auto"/>
              <w:rPr>
                <w:rFonts w:ascii="Times New Roman" w:eastAsia="Times New Roman" w:hAnsi="Times New Roman" w:cs="Times New Roman"/>
                <w:sz w:val="20"/>
                <w:szCs w:val="20"/>
                <w:lang w:eastAsia="cs-CZ"/>
              </w:rPr>
            </w:pPr>
          </w:p>
        </w:tc>
        <w:tc>
          <w:tcPr>
            <w:tcW w:w="3046" w:type="dxa"/>
            <w:tcBorders>
              <w:top w:val="single" w:sz="4" w:space="0" w:color="000000"/>
              <w:left w:val="nil"/>
              <w:bottom w:val="nil"/>
              <w:right w:val="nil"/>
            </w:tcBorders>
            <w:hideMark/>
          </w:tcPr>
          <w:p w14:paraId="062DA30D"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lang w:eastAsia="cs-CZ"/>
              </w:rPr>
              <w:t xml:space="preserve">Ing. Jaroslav </w:t>
            </w:r>
            <w:proofErr w:type="spellStart"/>
            <w:r w:rsidRPr="00023F41">
              <w:rPr>
                <w:rFonts w:ascii="Arial" w:eastAsia="Times New Roman" w:hAnsi="Arial" w:cs="Arial"/>
                <w:b/>
                <w:lang w:eastAsia="cs-CZ"/>
              </w:rPr>
              <w:t>Mrňa</w:t>
            </w:r>
            <w:proofErr w:type="spellEnd"/>
          </w:p>
          <w:p w14:paraId="1FD4DDF3" w14:textId="77777777" w:rsidR="00023F41" w:rsidRPr="00023F41" w:rsidRDefault="00023F41" w:rsidP="00023F41">
            <w:pPr>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lang w:eastAsia="cs-CZ"/>
              </w:rPr>
              <w:t>starosta obce</w:t>
            </w:r>
          </w:p>
        </w:tc>
      </w:tr>
    </w:tbl>
    <w:p w14:paraId="521203D3"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p>
    <w:p w14:paraId="182987A0"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Times New Roman" w:eastAsia="Times New Roman" w:hAnsi="Times New Roman" w:cs="Times New Roman"/>
          <w:sz w:val="24"/>
          <w:szCs w:val="24"/>
          <w:lang w:eastAsia="cs-CZ"/>
        </w:rPr>
        <w:pict w14:anchorId="0D3170B0">
          <v:rect id="_x0000_i1025" style="width:155.2pt;height:.6pt" o:hrpct="330" o:hralign="center" o:hrstd="t" o:hr="t" fillcolor="#a0a0a0" stroked="f"/>
        </w:pict>
      </w:r>
    </w:p>
    <w:tbl>
      <w:tblPr>
        <w:tblW w:w="0" w:type="auto"/>
        <w:tblInd w:w="-10" w:type="dxa"/>
        <w:tblLayout w:type="fixed"/>
        <w:tblLook w:val="04A0" w:firstRow="1" w:lastRow="0" w:firstColumn="1" w:lastColumn="0" w:noHBand="0" w:noVBand="1"/>
      </w:tblPr>
      <w:tblGrid>
        <w:gridCol w:w="7090"/>
        <w:gridCol w:w="1939"/>
      </w:tblGrid>
      <w:tr w:rsidR="00023F41" w:rsidRPr="00023F41" w14:paraId="59C5D0D2" w14:textId="77777777" w:rsidTr="00023F41">
        <w:tc>
          <w:tcPr>
            <w:tcW w:w="7090" w:type="dxa"/>
            <w:tcBorders>
              <w:top w:val="single" w:sz="4" w:space="0" w:color="000000"/>
              <w:left w:val="single" w:sz="4" w:space="0" w:color="000000"/>
              <w:bottom w:val="single" w:sz="4" w:space="0" w:color="000000"/>
              <w:right w:val="nil"/>
            </w:tcBorders>
            <w:hideMark/>
          </w:tcPr>
          <w:p w14:paraId="0C44D407" w14:textId="77777777" w:rsidR="00023F41" w:rsidRPr="00023F41" w:rsidRDefault="00023F41" w:rsidP="00023F41">
            <w:pPr>
              <w:snapToGrid w:val="0"/>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sz w:val="28"/>
                <w:szCs w:val="28"/>
                <w:lang w:eastAsia="cs-CZ"/>
              </w:rPr>
              <w:t>Skutečné náklady na svoz a sběr</w:t>
            </w:r>
          </w:p>
          <w:p w14:paraId="4786CE49" w14:textId="77777777" w:rsidR="00023F41" w:rsidRPr="00023F41" w:rsidRDefault="00023F41" w:rsidP="00023F41">
            <w:pPr>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sz w:val="28"/>
                <w:szCs w:val="28"/>
                <w:lang w:eastAsia="cs-CZ"/>
              </w:rPr>
              <w:t>netříděného komunálního odpadu</w:t>
            </w:r>
          </w:p>
        </w:tc>
        <w:tc>
          <w:tcPr>
            <w:tcW w:w="1939" w:type="dxa"/>
            <w:tcBorders>
              <w:top w:val="single" w:sz="4" w:space="0" w:color="000000"/>
              <w:left w:val="single" w:sz="4" w:space="0" w:color="000000"/>
              <w:bottom w:val="single" w:sz="4" w:space="0" w:color="000000"/>
              <w:right w:val="single" w:sz="4" w:space="0" w:color="000000"/>
            </w:tcBorders>
            <w:hideMark/>
          </w:tcPr>
          <w:p w14:paraId="19A493C6" w14:textId="77777777" w:rsidR="00023F41" w:rsidRPr="00023F41" w:rsidRDefault="00023F41" w:rsidP="00023F41">
            <w:pPr>
              <w:snapToGrid w:val="0"/>
              <w:spacing w:after="0" w:line="240" w:lineRule="auto"/>
              <w:jc w:val="right"/>
              <w:rPr>
                <w:rFonts w:ascii="Times New Roman" w:eastAsia="Times New Roman" w:hAnsi="Times New Roman" w:cs="Times New Roman"/>
                <w:sz w:val="24"/>
                <w:szCs w:val="24"/>
                <w:lang w:eastAsia="cs-CZ"/>
              </w:rPr>
            </w:pPr>
            <w:proofErr w:type="gramStart"/>
            <w:r w:rsidRPr="00023F41">
              <w:rPr>
                <w:rFonts w:ascii="Arial" w:eastAsia="Times New Roman" w:hAnsi="Arial" w:cs="Arial"/>
                <w:sz w:val="28"/>
                <w:szCs w:val="28"/>
                <w:lang w:eastAsia="cs-CZ"/>
              </w:rPr>
              <w:t>000.000,--</w:t>
            </w:r>
            <w:proofErr w:type="gramEnd"/>
            <w:r w:rsidRPr="00023F41">
              <w:rPr>
                <w:rFonts w:ascii="Arial" w:eastAsia="Times New Roman" w:hAnsi="Arial" w:cs="Arial"/>
                <w:sz w:val="28"/>
                <w:szCs w:val="28"/>
                <w:lang w:eastAsia="cs-CZ"/>
              </w:rPr>
              <w:t xml:space="preserve"> Kč</w:t>
            </w:r>
          </w:p>
        </w:tc>
      </w:tr>
      <w:tr w:rsidR="00023F41" w:rsidRPr="00023F41" w14:paraId="4C32E7D1" w14:textId="77777777" w:rsidTr="00023F41">
        <w:tc>
          <w:tcPr>
            <w:tcW w:w="7090" w:type="dxa"/>
            <w:tcBorders>
              <w:top w:val="single" w:sz="4" w:space="0" w:color="000000"/>
              <w:left w:val="single" w:sz="4" w:space="0" w:color="000000"/>
              <w:bottom w:val="single" w:sz="4" w:space="0" w:color="000000"/>
              <w:right w:val="nil"/>
            </w:tcBorders>
            <w:hideMark/>
          </w:tcPr>
          <w:p w14:paraId="14E8E37B" w14:textId="77777777" w:rsidR="00023F41" w:rsidRPr="00023F41" w:rsidRDefault="00023F41" w:rsidP="00023F41">
            <w:pPr>
              <w:snapToGrid w:val="0"/>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sz w:val="28"/>
                <w:szCs w:val="28"/>
                <w:lang w:eastAsia="cs-CZ"/>
              </w:rPr>
              <w:t>Počet osob rozhodných pro rozúčtování skutečných nákladů</w:t>
            </w:r>
          </w:p>
        </w:tc>
        <w:tc>
          <w:tcPr>
            <w:tcW w:w="1939" w:type="dxa"/>
            <w:tcBorders>
              <w:top w:val="single" w:sz="4" w:space="0" w:color="000000"/>
              <w:left w:val="single" w:sz="4" w:space="0" w:color="000000"/>
              <w:bottom w:val="single" w:sz="4" w:space="0" w:color="000000"/>
              <w:right w:val="single" w:sz="4" w:space="0" w:color="000000"/>
            </w:tcBorders>
            <w:hideMark/>
          </w:tcPr>
          <w:p w14:paraId="456B9B55"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sz w:val="28"/>
                <w:szCs w:val="28"/>
                <w:lang w:eastAsia="cs-CZ"/>
              </w:rPr>
              <w:t>000</w:t>
            </w:r>
          </w:p>
        </w:tc>
      </w:tr>
      <w:tr w:rsidR="00023F41" w:rsidRPr="00023F41" w14:paraId="69A43DDE" w14:textId="77777777" w:rsidTr="00023F41">
        <w:tc>
          <w:tcPr>
            <w:tcW w:w="7090" w:type="dxa"/>
            <w:tcBorders>
              <w:top w:val="single" w:sz="4" w:space="0" w:color="000000"/>
              <w:left w:val="single" w:sz="4" w:space="0" w:color="000000"/>
              <w:bottom w:val="single" w:sz="4" w:space="0" w:color="000000"/>
              <w:right w:val="nil"/>
            </w:tcBorders>
            <w:hideMark/>
          </w:tcPr>
          <w:p w14:paraId="57F411E5" w14:textId="77777777" w:rsidR="00023F41" w:rsidRPr="00023F41" w:rsidRDefault="00023F41" w:rsidP="00023F41">
            <w:pPr>
              <w:snapToGrid w:val="0"/>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b/>
                <w:bCs/>
                <w:sz w:val="28"/>
                <w:szCs w:val="28"/>
                <w:lang w:eastAsia="cs-CZ"/>
              </w:rPr>
              <w:t>Náklady za svoz a sběr netříděného komunálního odpadu na osobu a rok</w:t>
            </w:r>
          </w:p>
        </w:tc>
        <w:tc>
          <w:tcPr>
            <w:tcW w:w="1939" w:type="dxa"/>
            <w:tcBorders>
              <w:top w:val="single" w:sz="4" w:space="0" w:color="000000"/>
              <w:left w:val="single" w:sz="4" w:space="0" w:color="000000"/>
              <w:bottom w:val="single" w:sz="4" w:space="0" w:color="000000"/>
              <w:right w:val="single" w:sz="4" w:space="0" w:color="000000"/>
            </w:tcBorders>
            <w:hideMark/>
          </w:tcPr>
          <w:p w14:paraId="495F5748" w14:textId="77777777" w:rsidR="00023F41" w:rsidRPr="00023F41" w:rsidRDefault="00023F41" w:rsidP="00023F41">
            <w:pPr>
              <w:snapToGrid w:val="0"/>
              <w:spacing w:after="0" w:line="240" w:lineRule="auto"/>
              <w:jc w:val="right"/>
              <w:rPr>
                <w:rFonts w:ascii="Times New Roman" w:eastAsia="Times New Roman" w:hAnsi="Times New Roman" w:cs="Times New Roman"/>
                <w:sz w:val="24"/>
                <w:szCs w:val="24"/>
                <w:lang w:eastAsia="cs-CZ"/>
              </w:rPr>
            </w:pPr>
            <w:r w:rsidRPr="00023F41">
              <w:rPr>
                <w:rFonts w:ascii="Arial" w:eastAsia="Times New Roman" w:hAnsi="Arial" w:cs="Arial"/>
                <w:b/>
                <w:bCs/>
                <w:sz w:val="28"/>
                <w:szCs w:val="28"/>
                <w:lang w:eastAsia="cs-CZ"/>
              </w:rPr>
              <w:t>000,-- Kč</w:t>
            </w:r>
          </w:p>
        </w:tc>
      </w:tr>
      <w:tr w:rsidR="00023F41" w:rsidRPr="00023F41" w14:paraId="0F6D11BB" w14:textId="77777777" w:rsidTr="00023F41">
        <w:tc>
          <w:tcPr>
            <w:tcW w:w="9029"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5CE6703F"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bCs/>
                <w:sz w:val="28"/>
                <w:szCs w:val="28"/>
                <w:lang w:eastAsia="cs-CZ"/>
              </w:rPr>
              <w:t>Výše poplatku pro r. 2012</w:t>
            </w:r>
          </w:p>
        </w:tc>
      </w:tr>
      <w:tr w:rsidR="00023F41" w:rsidRPr="00023F41" w14:paraId="1B019F7C" w14:textId="77777777" w:rsidTr="00023F41">
        <w:tc>
          <w:tcPr>
            <w:tcW w:w="7090" w:type="dxa"/>
            <w:tcBorders>
              <w:top w:val="single" w:sz="4" w:space="0" w:color="000000"/>
              <w:left w:val="single" w:sz="4" w:space="0" w:color="000000"/>
              <w:bottom w:val="single" w:sz="4" w:space="0" w:color="000000"/>
              <w:right w:val="nil"/>
            </w:tcBorders>
            <w:hideMark/>
          </w:tcPr>
          <w:p w14:paraId="664DFB89" w14:textId="77777777" w:rsidR="00023F41" w:rsidRPr="00023F41" w:rsidRDefault="00023F41" w:rsidP="00023F41">
            <w:pPr>
              <w:snapToGrid w:val="0"/>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sz w:val="28"/>
                <w:szCs w:val="28"/>
                <w:lang w:eastAsia="cs-CZ"/>
              </w:rPr>
              <w:t>Za fyzickou osobu s trvalým pobytem v obci</w:t>
            </w:r>
          </w:p>
        </w:tc>
        <w:tc>
          <w:tcPr>
            <w:tcW w:w="1939" w:type="dxa"/>
            <w:tcBorders>
              <w:top w:val="single" w:sz="4" w:space="0" w:color="000000"/>
              <w:left w:val="single" w:sz="4" w:space="0" w:color="000000"/>
              <w:bottom w:val="single" w:sz="4" w:space="0" w:color="000000"/>
              <w:right w:val="single" w:sz="4" w:space="0" w:color="000000"/>
            </w:tcBorders>
            <w:hideMark/>
          </w:tcPr>
          <w:p w14:paraId="58B7B758"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bCs/>
                <w:sz w:val="28"/>
                <w:szCs w:val="28"/>
                <w:lang w:eastAsia="cs-CZ"/>
              </w:rPr>
              <w:t>400,-- Kč</w:t>
            </w:r>
          </w:p>
        </w:tc>
      </w:tr>
      <w:tr w:rsidR="00023F41" w:rsidRPr="00023F41" w14:paraId="4DB313D4" w14:textId="77777777" w:rsidTr="00023F41">
        <w:tc>
          <w:tcPr>
            <w:tcW w:w="7090" w:type="dxa"/>
            <w:tcBorders>
              <w:top w:val="single" w:sz="4" w:space="0" w:color="000000"/>
              <w:left w:val="single" w:sz="4" w:space="0" w:color="000000"/>
              <w:bottom w:val="single" w:sz="4" w:space="0" w:color="000000"/>
              <w:right w:val="nil"/>
            </w:tcBorders>
            <w:hideMark/>
          </w:tcPr>
          <w:p w14:paraId="28501CD5" w14:textId="77777777" w:rsidR="00023F41" w:rsidRPr="00023F41" w:rsidRDefault="00023F41" w:rsidP="00023F41">
            <w:pPr>
              <w:snapToGrid w:val="0"/>
              <w:spacing w:after="0" w:line="240" w:lineRule="auto"/>
              <w:rPr>
                <w:rFonts w:ascii="Times New Roman" w:eastAsia="Times New Roman" w:hAnsi="Times New Roman" w:cs="Times New Roman"/>
                <w:sz w:val="24"/>
                <w:szCs w:val="24"/>
                <w:lang w:eastAsia="cs-CZ"/>
              </w:rPr>
            </w:pPr>
            <w:r w:rsidRPr="00023F41">
              <w:rPr>
                <w:rFonts w:ascii="Arial" w:eastAsia="Times New Roman" w:hAnsi="Arial" w:cs="Arial"/>
                <w:sz w:val="28"/>
                <w:szCs w:val="28"/>
                <w:lang w:eastAsia="cs-CZ"/>
              </w:rPr>
              <w:t>Za stavbu určenou k rekreaci</w:t>
            </w:r>
          </w:p>
        </w:tc>
        <w:tc>
          <w:tcPr>
            <w:tcW w:w="1939" w:type="dxa"/>
            <w:tcBorders>
              <w:top w:val="single" w:sz="4" w:space="0" w:color="000000"/>
              <w:left w:val="single" w:sz="4" w:space="0" w:color="000000"/>
              <w:bottom w:val="single" w:sz="4" w:space="0" w:color="000000"/>
              <w:right w:val="single" w:sz="4" w:space="0" w:color="000000"/>
            </w:tcBorders>
            <w:hideMark/>
          </w:tcPr>
          <w:p w14:paraId="246EE77B"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bCs/>
                <w:sz w:val="28"/>
                <w:szCs w:val="28"/>
                <w:lang w:eastAsia="cs-CZ"/>
              </w:rPr>
              <w:t>400,-- Kč</w:t>
            </w:r>
          </w:p>
        </w:tc>
      </w:tr>
    </w:tbl>
    <w:p w14:paraId="6A0C840E" w14:textId="77777777" w:rsidR="00023F41" w:rsidRPr="00023F41" w:rsidRDefault="00023F41" w:rsidP="00023F41">
      <w:pPr>
        <w:spacing w:after="0" w:line="240" w:lineRule="auto"/>
        <w:rPr>
          <w:rFonts w:ascii="Times New Roman" w:eastAsia="Times New Roman" w:hAnsi="Times New Roman" w:cs="Times New Roman"/>
          <w:vanish/>
          <w:sz w:val="24"/>
          <w:szCs w:val="24"/>
          <w:lang w:eastAsia="cs-CZ"/>
        </w:rPr>
      </w:pPr>
    </w:p>
    <w:tbl>
      <w:tblPr>
        <w:tblW w:w="0" w:type="auto"/>
        <w:tblInd w:w="70" w:type="dxa"/>
        <w:tblLayout w:type="fixed"/>
        <w:tblCellMar>
          <w:left w:w="70" w:type="dxa"/>
          <w:right w:w="70" w:type="dxa"/>
        </w:tblCellMar>
        <w:tblLook w:val="04A0" w:firstRow="1" w:lastRow="0" w:firstColumn="1" w:lastColumn="0" w:noHBand="0" w:noVBand="1"/>
      </w:tblPr>
      <w:tblGrid>
        <w:gridCol w:w="3047"/>
        <w:gridCol w:w="1559"/>
        <w:gridCol w:w="1560"/>
        <w:gridCol w:w="3046"/>
      </w:tblGrid>
      <w:tr w:rsidR="00023F41" w:rsidRPr="00023F41" w14:paraId="67EE5EBC" w14:textId="77777777" w:rsidTr="00023F41">
        <w:tc>
          <w:tcPr>
            <w:tcW w:w="3047" w:type="dxa"/>
            <w:tcBorders>
              <w:top w:val="single" w:sz="4" w:space="0" w:color="000000"/>
              <w:left w:val="nil"/>
              <w:bottom w:val="nil"/>
              <w:right w:val="nil"/>
            </w:tcBorders>
            <w:hideMark/>
          </w:tcPr>
          <w:p w14:paraId="7D32F755"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lang w:eastAsia="cs-CZ"/>
              </w:rPr>
              <w:t>Jiří Vala</w:t>
            </w:r>
          </w:p>
          <w:p w14:paraId="27476773" w14:textId="77777777" w:rsidR="00023F41" w:rsidRPr="00023F41" w:rsidRDefault="00023F41" w:rsidP="00023F41">
            <w:pPr>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lang w:eastAsia="cs-CZ"/>
              </w:rPr>
              <w:t>místostarosta obce</w:t>
            </w:r>
          </w:p>
        </w:tc>
        <w:tc>
          <w:tcPr>
            <w:tcW w:w="1559" w:type="dxa"/>
            <w:hideMark/>
          </w:tcPr>
          <w:p w14:paraId="79586C15" w14:textId="77777777" w:rsidR="00023F41" w:rsidRPr="00023F41" w:rsidRDefault="00023F41" w:rsidP="00023F41">
            <w:pPr>
              <w:spacing w:after="0" w:line="240" w:lineRule="auto"/>
              <w:jc w:val="center"/>
              <w:rPr>
                <w:rFonts w:ascii="Times New Roman" w:eastAsia="Times New Roman" w:hAnsi="Times New Roman" w:cs="Times New Roman"/>
                <w:sz w:val="24"/>
                <w:szCs w:val="24"/>
                <w:lang w:eastAsia="cs-CZ"/>
              </w:rPr>
            </w:pPr>
          </w:p>
        </w:tc>
        <w:tc>
          <w:tcPr>
            <w:tcW w:w="1560" w:type="dxa"/>
            <w:hideMark/>
          </w:tcPr>
          <w:p w14:paraId="50376281" w14:textId="77777777" w:rsidR="00023F41" w:rsidRPr="00023F41" w:rsidRDefault="00023F41" w:rsidP="00023F41">
            <w:pPr>
              <w:spacing w:after="0" w:line="240" w:lineRule="auto"/>
              <w:rPr>
                <w:rFonts w:ascii="Times New Roman" w:eastAsia="Times New Roman" w:hAnsi="Times New Roman" w:cs="Times New Roman"/>
                <w:sz w:val="20"/>
                <w:szCs w:val="20"/>
                <w:lang w:eastAsia="cs-CZ"/>
              </w:rPr>
            </w:pPr>
          </w:p>
        </w:tc>
        <w:tc>
          <w:tcPr>
            <w:tcW w:w="3046" w:type="dxa"/>
            <w:tcBorders>
              <w:top w:val="single" w:sz="4" w:space="0" w:color="000000"/>
              <w:left w:val="nil"/>
              <w:bottom w:val="nil"/>
              <w:right w:val="nil"/>
            </w:tcBorders>
            <w:hideMark/>
          </w:tcPr>
          <w:p w14:paraId="77CAD8E2" w14:textId="77777777" w:rsidR="00023F41" w:rsidRPr="00023F41" w:rsidRDefault="00023F41" w:rsidP="00023F41">
            <w:pPr>
              <w:snapToGrid w:val="0"/>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b/>
                <w:lang w:eastAsia="cs-CZ"/>
              </w:rPr>
              <w:t xml:space="preserve">Ing. Jaroslav </w:t>
            </w:r>
            <w:proofErr w:type="spellStart"/>
            <w:r w:rsidRPr="00023F41">
              <w:rPr>
                <w:rFonts w:ascii="Arial" w:eastAsia="Times New Roman" w:hAnsi="Arial" w:cs="Arial"/>
                <w:b/>
                <w:lang w:eastAsia="cs-CZ"/>
              </w:rPr>
              <w:t>Mrňa</w:t>
            </w:r>
            <w:proofErr w:type="spellEnd"/>
          </w:p>
          <w:p w14:paraId="3BEF5721" w14:textId="77777777" w:rsidR="00023F41" w:rsidRPr="00023F41" w:rsidRDefault="00023F41" w:rsidP="00023F41">
            <w:pPr>
              <w:spacing w:after="0" w:line="240" w:lineRule="auto"/>
              <w:jc w:val="center"/>
              <w:rPr>
                <w:rFonts w:ascii="Times New Roman" w:eastAsia="Times New Roman" w:hAnsi="Times New Roman" w:cs="Times New Roman"/>
                <w:sz w:val="24"/>
                <w:szCs w:val="24"/>
                <w:lang w:eastAsia="cs-CZ"/>
              </w:rPr>
            </w:pPr>
            <w:r w:rsidRPr="00023F41">
              <w:rPr>
                <w:rFonts w:ascii="Arial" w:eastAsia="Times New Roman" w:hAnsi="Arial" w:cs="Arial"/>
                <w:lang w:eastAsia="cs-CZ"/>
              </w:rPr>
              <w:t>starosta obce</w:t>
            </w:r>
          </w:p>
        </w:tc>
      </w:tr>
    </w:tbl>
    <w:p w14:paraId="717596DC" w14:textId="24B089D8" w:rsidR="00483F69" w:rsidRPr="00483F69" w:rsidRDefault="00483F69" w:rsidP="00483F69">
      <w:pPr>
        <w:spacing w:before="100" w:beforeAutospacing="1" w:after="100" w:afterAutospacing="1" w:line="240" w:lineRule="auto"/>
        <w:rPr>
          <w:rFonts w:ascii="Times New Roman" w:eastAsia="Times New Roman" w:hAnsi="Times New Roman" w:cs="Times New Roman"/>
          <w:sz w:val="24"/>
          <w:szCs w:val="24"/>
          <w:lang w:eastAsia="cs-CZ"/>
        </w:rPr>
      </w:pPr>
    </w:p>
    <w:sectPr w:rsidR="00483F69" w:rsidRPr="00483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6F793" w14:textId="77777777" w:rsidR="00C95FE2" w:rsidRDefault="00C95FE2" w:rsidP="00023F41">
      <w:pPr>
        <w:spacing w:after="0" w:line="240" w:lineRule="auto"/>
      </w:pPr>
      <w:r>
        <w:separator/>
      </w:r>
    </w:p>
  </w:endnote>
  <w:endnote w:type="continuationSeparator" w:id="0">
    <w:p w14:paraId="43B98F1F" w14:textId="77777777" w:rsidR="00C95FE2" w:rsidRDefault="00C95FE2" w:rsidP="0002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6727B" w14:textId="77777777" w:rsidR="00C95FE2" w:rsidRDefault="00C95FE2" w:rsidP="00023F41">
      <w:pPr>
        <w:spacing w:after="0" w:line="240" w:lineRule="auto"/>
      </w:pPr>
      <w:r>
        <w:separator/>
      </w:r>
    </w:p>
  </w:footnote>
  <w:footnote w:type="continuationSeparator" w:id="0">
    <w:p w14:paraId="54B8C52C" w14:textId="77777777" w:rsidR="00C95FE2" w:rsidRDefault="00C95FE2" w:rsidP="00023F41">
      <w:pPr>
        <w:spacing w:after="0" w:line="240" w:lineRule="auto"/>
      </w:pPr>
      <w:r>
        <w:continuationSeparator/>
      </w:r>
    </w:p>
  </w:footnote>
  <w:footnote w:id="1">
    <w:p w14:paraId="3EB532A8" w14:textId="77777777" w:rsidR="00023F41" w:rsidRDefault="00023F41" w:rsidP="00023F41">
      <w:r>
        <w:rPr>
          <w:rStyle w:val="znakypropoznmkupodarou"/>
          <w:rFonts w:ascii="Arial" w:hAnsi="Arial"/>
        </w:rPr>
        <w:footnoteRef/>
      </w:r>
      <w:r>
        <w:rPr>
          <w:rStyle w:val="znakypropoznmkupodarou"/>
          <w:rFonts w:ascii="Arial" w:hAnsi="Arial"/>
          <w:sz w:val="20"/>
          <w:szCs w:val="20"/>
          <w:lang w:eastAsia="ar-SA"/>
        </w:rPr>
        <w:t>[1]</w:t>
      </w:r>
      <w:r>
        <w:rPr>
          <w:rFonts w:ascii="Arial" w:hAnsi="Arial" w:cs="Arial"/>
        </w:rPr>
        <w:tab/>
        <w:t>§ 14 odstavec 3) zákona č. 565/1990 Sb., o místních poplatcích, ve znění pozdějších předpisů (dále jen „zákon o místních poplatcích“)</w:t>
      </w:r>
    </w:p>
  </w:footnote>
  <w:footnote w:id="2">
    <w:p w14:paraId="48652123" w14:textId="77777777" w:rsidR="00023F41" w:rsidRDefault="00023F41" w:rsidP="00023F41">
      <w:r>
        <w:rPr>
          <w:rStyle w:val="znakypropoznmkupodarou"/>
          <w:rFonts w:ascii="Arial" w:hAnsi="Arial"/>
        </w:rPr>
        <w:footnoteRef/>
      </w:r>
      <w:r>
        <w:rPr>
          <w:rStyle w:val="znakypropoznmkupodarou"/>
          <w:rFonts w:ascii="Arial" w:hAnsi="Arial"/>
          <w:sz w:val="20"/>
          <w:szCs w:val="20"/>
          <w:lang w:eastAsia="ar-SA"/>
        </w:rPr>
        <w:t>[2]</w:t>
      </w:r>
      <w:r>
        <w:rPr>
          <w:rFonts w:ascii="Arial" w:hAnsi="Arial" w:cs="Arial"/>
        </w:rPr>
        <w:tab/>
        <w:t>§ 10b odstavec 1) zákona o místních poplatcích</w:t>
      </w:r>
    </w:p>
  </w:footnote>
  <w:footnote w:id="3">
    <w:p w14:paraId="6AB507D7" w14:textId="77777777" w:rsidR="00023F41" w:rsidRDefault="00023F41" w:rsidP="00023F41">
      <w:r>
        <w:rPr>
          <w:rStyle w:val="znakypropoznmkupodarou"/>
          <w:rFonts w:ascii="Arial" w:hAnsi="Arial"/>
        </w:rPr>
        <w:footnoteRef/>
      </w:r>
      <w:r>
        <w:rPr>
          <w:rStyle w:val="znakypropoznmkupodarou"/>
          <w:rFonts w:ascii="Arial" w:hAnsi="Arial"/>
          <w:sz w:val="20"/>
          <w:szCs w:val="20"/>
          <w:lang w:eastAsia="ar-SA"/>
        </w:rPr>
        <w:t>[3]</w:t>
      </w:r>
      <w:r>
        <w:rPr>
          <w:rFonts w:ascii="Arial" w:hAnsi="Arial" w:cs="Arial"/>
        </w:rPr>
        <w:tab/>
        <w:t>§ 14a odstavec 2) zákona o místních poplatcích</w:t>
      </w:r>
    </w:p>
  </w:footnote>
  <w:footnote w:id="4">
    <w:p w14:paraId="3DFAB1ED" w14:textId="77777777" w:rsidR="00023F41" w:rsidRDefault="00023F41" w:rsidP="00023F41">
      <w:r>
        <w:rPr>
          <w:rStyle w:val="znakypropoznmkupodarou"/>
          <w:rFonts w:ascii="Arial" w:hAnsi="Arial"/>
        </w:rPr>
        <w:footnoteRef/>
      </w:r>
      <w:r>
        <w:rPr>
          <w:rStyle w:val="znakypropoznmkupodarou"/>
          <w:rFonts w:ascii="Arial" w:hAnsi="Arial"/>
          <w:sz w:val="20"/>
          <w:szCs w:val="20"/>
          <w:lang w:eastAsia="ar-SA"/>
        </w:rPr>
        <w:t>[4]</w:t>
      </w:r>
      <w:r>
        <w:rPr>
          <w:rFonts w:ascii="Arial" w:hAnsi="Arial" w:cs="Arial"/>
        </w:rPr>
        <w:tab/>
        <w:t>§ 14a odstavec 3) zákona o místních poplatcích</w:t>
      </w:r>
    </w:p>
  </w:footnote>
  <w:footnote w:id="5">
    <w:p w14:paraId="55889D60" w14:textId="77777777" w:rsidR="00023F41" w:rsidRDefault="00023F41" w:rsidP="00023F41">
      <w:r>
        <w:rPr>
          <w:rStyle w:val="znakypropoznmkupodarou"/>
          <w:rFonts w:ascii="Arial" w:hAnsi="Arial"/>
        </w:rPr>
        <w:footnoteRef/>
      </w:r>
      <w:r>
        <w:rPr>
          <w:rStyle w:val="znakypropoznmkupodarou"/>
          <w:rFonts w:ascii="Arial" w:hAnsi="Arial"/>
          <w:sz w:val="20"/>
          <w:szCs w:val="20"/>
          <w:lang w:eastAsia="ar-SA"/>
        </w:rPr>
        <w:t>[5]</w:t>
      </w:r>
      <w:r>
        <w:rPr>
          <w:rFonts w:ascii="Arial" w:hAnsi="Arial" w:cs="Arial"/>
        </w:rPr>
        <w:tab/>
        <w:t>§ 10b odstavec 4) zákona o místních poplatcích</w:t>
      </w:r>
    </w:p>
  </w:footnote>
  <w:footnote w:id="6">
    <w:p w14:paraId="750A4244" w14:textId="77777777" w:rsidR="00023F41" w:rsidRDefault="00023F41" w:rsidP="00023F41">
      <w:r>
        <w:rPr>
          <w:rStyle w:val="znakypropoznmkupodarou"/>
          <w:rFonts w:ascii="Arial" w:hAnsi="Arial"/>
        </w:rPr>
        <w:footnoteRef/>
      </w:r>
      <w:r>
        <w:rPr>
          <w:rStyle w:val="znakypropoznmkupodarou"/>
          <w:rFonts w:ascii="Arial" w:hAnsi="Arial"/>
          <w:sz w:val="20"/>
          <w:szCs w:val="20"/>
          <w:lang w:eastAsia="ar-SA"/>
        </w:rPr>
        <w:t>[6]</w:t>
      </w:r>
      <w:r>
        <w:rPr>
          <w:rFonts w:ascii="Arial" w:hAnsi="Arial" w:cs="Arial"/>
        </w:rPr>
        <w:tab/>
        <w:t>§ 11 odstavec 1) zákona o místních poplatcích</w:t>
      </w:r>
    </w:p>
  </w:footnote>
  <w:footnote w:id="7">
    <w:p w14:paraId="259D151A" w14:textId="77777777" w:rsidR="00023F41" w:rsidRDefault="00023F41" w:rsidP="00023F41">
      <w:pPr>
        <w:jc w:val="center"/>
        <w:rPr>
          <w:rFonts w:ascii="Verdana" w:hAnsi="Verdana"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69"/>
    <w:rsid w:val="00023F41"/>
    <w:rsid w:val="001C2853"/>
    <w:rsid w:val="002767BD"/>
    <w:rsid w:val="00483F69"/>
    <w:rsid w:val="00512D3F"/>
    <w:rsid w:val="00C95FE2"/>
    <w:rsid w:val="00D66555"/>
    <w:rsid w:val="00EA2925"/>
    <w:rsid w:val="00FB7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81A"/>
  <w15:chartTrackingRefBased/>
  <w15:docId w15:val="{F92D7A92-D583-4C52-9983-CADB78D3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83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83F6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EA29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3F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83F69"/>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483F69"/>
    <w:rPr>
      <w:b/>
      <w:bCs/>
    </w:rPr>
  </w:style>
  <w:style w:type="character" w:customStyle="1" w:styleId="Nadpis4Char">
    <w:name w:val="Nadpis 4 Char"/>
    <w:basedOn w:val="Standardnpsmoodstavce"/>
    <w:link w:val="Nadpis4"/>
    <w:uiPriority w:val="9"/>
    <w:semiHidden/>
    <w:rsid w:val="00EA2925"/>
    <w:rPr>
      <w:rFonts w:asciiTheme="majorHAnsi" w:eastAsiaTheme="majorEastAsia" w:hAnsiTheme="majorHAnsi" w:cstheme="majorBidi"/>
      <w:i/>
      <w:iCs/>
      <w:color w:val="2F5496" w:themeColor="accent1" w:themeShade="BF"/>
    </w:rPr>
  </w:style>
  <w:style w:type="character" w:styleId="Znakapoznpodarou">
    <w:name w:val="footnote reference"/>
    <w:basedOn w:val="Standardnpsmoodstavce"/>
    <w:uiPriority w:val="99"/>
    <w:semiHidden/>
    <w:unhideWhenUsed/>
    <w:rsid w:val="00023F41"/>
  </w:style>
  <w:style w:type="character" w:customStyle="1" w:styleId="znakypropoznmkupodarou">
    <w:name w:val="znakypropoznmkupodarou"/>
    <w:basedOn w:val="Standardnpsmoodstavce"/>
    <w:rsid w:val="0002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51838">
      <w:bodyDiv w:val="1"/>
      <w:marLeft w:val="0"/>
      <w:marRight w:val="0"/>
      <w:marTop w:val="0"/>
      <w:marBottom w:val="0"/>
      <w:divBdr>
        <w:top w:val="none" w:sz="0" w:space="0" w:color="auto"/>
        <w:left w:val="none" w:sz="0" w:space="0" w:color="auto"/>
        <w:bottom w:val="none" w:sz="0" w:space="0" w:color="auto"/>
        <w:right w:val="none" w:sz="0" w:space="0" w:color="auto"/>
      </w:divBdr>
    </w:div>
    <w:div w:id="1001347181">
      <w:bodyDiv w:val="1"/>
      <w:marLeft w:val="0"/>
      <w:marRight w:val="0"/>
      <w:marTop w:val="0"/>
      <w:marBottom w:val="0"/>
      <w:divBdr>
        <w:top w:val="none" w:sz="0" w:space="0" w:color="auto"/>
        <w:left w:val="none" w:sz="0" w:space="0" w:color="auto"/>
        <w:bottom w:val="none" w:sz="0" w:space="0" w:color="auto"/>
        <w:right w:val="none" w:sz="0" w:space="0" w:color="auto"/>
      </w:divBdr>
    </w:div>
    <w:div w:id="1340737383">
      <w:bodyDiv w:val="1"/>
      <w:marLeft w:val="0"/>
      <w:marRight w:val="0"/>
      <w:marTop w:val="0"/>
      <w:marBottom w:val="0"/>
      <w:divBdr>
        <w:top w:val="none" w:sz="0" w:space="0" w:color="auto"/>
        <w:left w:val="none" w:sz="0" w:space="0" w:color="auto"/>
        <w:bottom w:val="none" w:sz="0" w:space="0" w:color="auto"/>
        <w:right w:val="none" w:sz="0" w:space="0" w:color="auto"/>
      </w:divBdr>
      <w:divsChild>
        <w:div w:id="851802515">
          <w:marLeft w:val="0"/>
          <w:marRight w:val="0"/>
          <w:marTop w:val="0"/>
          <w:marBottom w:val="0"/>
          <w:divBdr>
            <w:top w:val="none" w:sz="0" w:space="0" w:color="auto"/>
            <w:left w:val="none" w:sz="0" w:space="0" w:color="auto"/>
            <w:bottom w:val="none" w:sz="0" w:space="0" w:color="auto"/>
            <w:right w:val="none" w:sz="0" w:space="0" w:color="auto"/>
          </w:divBdr>
          <w:divsChild>
            <w:div w:id="1248073944">
              <w:marLeft w:val="0"/>
              <w:marRight w:val="0"/>
              <w:marTop w:val="0"/>
              <w:marBottom w:val="240"/>
              <w:divBdr>
                <w:top w:val="none" w:sz="0" w:space="0" w:color="auto"/>
                <w:left w:val="none" w:sz="0" w:space="0" w:color="auto"/>
                <w:bottom w:val="none" w:sz="0" w:space="0" w:color="auto"/>
                <w:right w:val="none" w:sz="0" w:space="0" w:color="auto"/>
              </w:divBdr>
            </w:div>
            <w:div w:id="520633886">
              <w:marLeft w:val="0"/>
              <w:marRight w:val="0"/>
              <w:marTop w:val="0"/>
              <w:marBottom w:val="0"/>
              <w:divBdr>
                <w:top w:val="none" w:sz="0" w:space="0" w:color="auto"/>
                <w:left w:val="none" w:sz="0" w:space="0" w:color="auto"/>
                <w:bottom w:val="none" w:sz="0" w:space="0" w:color="auto"/>
                <w:right w:val="none" w:sz="0" w:space="0" w:color="auto"/>
              </w:divBdr>
            </w:div>
            <w:div w:id="836460048">
              <w:marLeft w:val="0"/>
              <w:marRight w:val="0"/>
              <w:marTop w:val="0"/>
              <w:marBottom w:val="0"/>
              <w:divBdr>
                <w:top w:val="none" w:sz="0" w:space="0" w:color="auto"/>
                <w:left w:val="none" w:sz="0" w:space="0" w:color="auto"/>
                <w:bottom w:val="none" w:sz="0" w:space="0" w:color="auto"/>
                <w:right w:val="none" w:sz="0" w:space="0" w:color="auto"/>
              </w:divBdr>
            </w:div>
            <w:div w:id="980381878">
              <w:marLeft w:val="567"/>
              <w:marRight w:val="0"/>
              <w:marTop w:val="0"/>
              <w:marBottom w:val="0"/>
              <w:divBdr>
                <w:top w:val="none" w:sz="0" w:space="0" w:color="auto"/>
                <w:left w:val="none" w:sz="0" w:space="0" w:color="auto"/>
                <w:bottom w:val="none" w:sz="0" w:space="0" w:color="auto"/>
                <w:right w:val="none" w:sz="0" w:space="0" w:color="auto"/>
              </w:divBdr>
            </w:div>
            <w:div w:id="861749836">
              <w:marLeft w:val="567"/>
              <w:marRight w:val="0"/>
              <w:marTop w:val="0"/>
              <w:marBottom w:val="0"/>
              <w:divBdr>
                <w:top w:val="none" w:sz="0" w:space="0" w:color="auto"/>
                <w:left w:val="none" w:sz="0" w:space="0" w:color="auto"/>
                <w:bottom w:val="none" w:sz="0" w:space="0" w:color="auto"/>
                <w:right w:val="none" w:sz="0" w:space="0" w:color="auto"/>
              </w:divBdr>
            </w:div>
            <w:div w:id="1997998843">
              <w:marLeft w:val="0"/>
              <w:marRight w:val="0"/>
              <w:marTop w:val="0"/>
              <w:marBottom w:val="0"/>
              <w:divBdr>
                <w:top w:val="none" w:sz="0" w:space="0" w:color="auto"/>
                <w:left w:val="none" w:sz="0" w:space="0" w:color="auto"/>
                <w:bottom w:val="none" w:sz="0" w:space="0" w:color="auto"/>
                <w:right w:val="none" w:sz="0" w:space="0" w:color="auto"/>
              </w:divBdr>
            </w:div>
            <w:div w:id="1412658020">
              <w:marLeft w:val="0"/>
              <w:marRight w:val="0"/>
              <w:marTop w:val="0"/>
              <w:marBottom w:val="0"/>
              <w:divBdr>
                <w:top w:val="none" w:sz="0" w:space="0" w:color="auto"/>
                <w:left w:val="none" w:sz="0" w:space="0" w:color="auto"/>
                <w:bottom w:val="none" w:sz="0" w:space="0" w:color="auto"/>
                <w:right w:val="none" w:sz="0" w:space="0" w:color="auto"/>
              </w:divBdr>
            </w:div>
            <w:div w:id="1663502965">
              <w:marLeft w:val="0"/>
              <w:marRight w:val="0"/>
              <w:marTop w:val="120"/>
              <w:marBottom w:val="0"/>
              <w:divBdr>
                <w:top w:val="none" w:sz="0" w:space="0" w:color="auto"/>
                <w:left w:val="none" w:sz="0" w:space="0" w:color="auto"/>
                <w:bottom w:val="none" w:sz="0" w:space="0" w:color="auto"/>
                <w:right w:val="none" w:sz="0" w:space="0" w:color="auto"/>
              </w:divBdr>
            </w:div>
            <w:div w:id="1003776109">
              <w:marLeft w:val="567"/>
              <w:marRight w:val="0"/>
              <w:marTop w:val="0"/>
              <w:marBottom w:val="0"/>
              <w:divBdr>
                <w:top w:val="none" w:sz="0" w:space="0" w:color="auto"/>
                <w:left w:val="none" w:sz="0" w:space="0" w:color="auto"/>
                <w:bottom w:val="none" w:sz="0" w:space="0" w:color="auto"/>
                <w:right w:val="none" w:sz="0" w:space="0" w:color="auto"/>
              </w:divBdr>
            </w:div>
            <w:div w:id="998776358">
              <w:marLeft w:val="567"/>
              <w:marRight w:val="0"/>
              <w:marTop w:val="0"/>
              <w:marBottom w:val="0"/>
              <w:divBdr>
                <w:top w:val="none" w:sz="0" w:space="0" w:color="auto"/>
                <w:left w:val="none" w:sz="0" w:space="0" w:color="auto"/>
                <w:bottom w:val="none" w:sz="0" w:space="0" w:color="auto"/>
                <w:right w:val="none" w:sz="0" w:space="0" w:color="auto"/>
              </w:divBdr>
            </w:div>
            <w:div w:id="964311032">
              <w:marLeft w:val="0"/>
              <w:marRight w:val="0"/>
              <w:marTop w:val="0"/>
              <w:marBottom w:val="0"/>
              <w:divBdr>
                <w:top w:val="none" w:sz="0" w:space="0" w:color="auto"/>
                <w:left w:val="none" w:sz="0" w:space="0" w:color="auto"/>
                <w:bottom w:val="none" w:sz="0" w:space="0" w:color="auto"/>
                <w:right w:val="none" w:sz="0" w:space="0" w:color="auto"/>
              </w:divBdr>
            </w:div>
            <w:div w:id="1078861747">
              <w:marLeft w:val="0"/>
              <w:marRight w:val="0"/>
              <w:marTop w:val="0"/>
              <w:marBottom w:val="0"/>
              <w:divBdr>
                <w:top w:val="none" w:sz="0" w:space="0" w:color="auto"/>
                <w:left w:val="none" w:sz="0" w:space="0" w:color="auto"/>
                <w:bottom w:val="none" w:sz="0" w:space="0" w:color="auto"/>
                <w:right w:val="none" w:sz="0" w:space="0" w:color="auto"/>
              </w:divBdr>
            </w:div>
            <w:div w:id="860819267">
              <w:marLeft w:val="567"/>
              <w:marRight w:val="0"/>
              <w:marTop w:val="120"/>
              <w:marBottom w:val="60"/>
              <w:divBdr>
                <w:top w:val="none" w:sz="0" w:space="0" w:color="auto"/>
                <w:left w:val="none" w:sz="0" w:space="0" w:color="auto"/>
                <w:bottom w:val="none" w:sz="0" w:space="0" w:color="auto"/>
                <w:right w:val="none" w:sz="0" w:space="0" w:color="auto"/>
              </w:divBdr>
            </w:div>
            <w:div w:id="365256976">
              <w:marLeft w:val="567"/>
              <w:marRight w:val="0"/>
              <w:marTop w:val="0"/>
              <w:marBottom w:val="60"/>
              <w:divBdr>
                <w:top w:val="none" w:sz="0" w:space="0" w:color="auto"/>
                <w:left w:val="none" w:sz="0" w:space="0" w:color="auto"/>
                <w:bottom w:val="none" w:sz="0" w:space="0" w:color="auto"/>
                <w:right w:val="none" w:sz="0" w:space="0" w:color="auto"/>
              </w:divBdr>
            </w:div>
            <w:div w:id="1015962396">
              <w:marLeft w:val="567"/>
              <w:marRight w:val="0"/>
              <w:marTop w:val="0"/>
              <w:marBottom w:val="60"/>
              <w:divBdr>
                <w:top w:val="none" w:sz="0" w:space="0" w:color="auto"/>
                <w:left w:val="none" w:sz="0" w:space="0" w:color="auto"/>
                <w:bottom w:val="none" w:sz="0" w:space="0" w:color="auto"/>
                <w:right w:val="none" w:sz="0" w:space="0" w:color="auto"/>
              </w:divBdr>
            </w:div>
            <w:div w:id="1672950049">
              <w:marLeft w:val="567"/>
              <w:marRight w:val="0"/>
              <w:marTop w:val="0"/>
              <w:marBottom w:val="60"/>
              <w:divBdr>
                <w:top w:val="none" w:sz="0" w:space="0" w:color="auto"/>
                <w:left w:val="none" w:sz="0" w:space="0" w:color="auto"/>
                <w:bottom w:val="none" w:sz="0" w:space="0" w:color="auto"/>
                <w:right w:val="none" w:sz="0" w:space="0" w:color="auto"/>
              </w:divBdr>
            </w:div>
            <w:div w:id="1512138493">
              <w:marLeft w:val="567"/>
              <w:marRight w:val="0"/>
              <w:marTop w:val="0"/>
              <w:marBottom w:val="0"/>
              <w:divBdr>
                <w:top w:val="none" w:sz="0" w:space="0" w:color="auto"/>
                <w:left w:val="none" w:sz="0" w:space="0" w:color="auto"/>
                <w:bottom w:val="none" w:sz="0" w:space="0" w:color="auto"/>
                <w:right w:val="none" w:sz="0" w:space="0" w:color="auto"/>
              </w:divBdr>
            </w:div>
            <w:div w:id="313340757">
              <w:marLeft w:val="0"/>
              <w:marRight w:val="0"/>
              <w:marTop w:val="0"/>
              <w:marBottom w:val="0"/>
              <w:divBdr>
                <w:top w:val="none" w:sz="0" w:space="0" w:color="auto"/>
                <w:left w:val="none" w:sz="0" w:space="0" w:color="auto"/>
                <w:bottom w:val="none" w:sz="0" w:space="0" w:color="auto"/>
                <w:right w:val="none" w:sz="0" w:space="0" w:color="auto"/>
              </w:divBdr>
            </w:div>
            <w:div w:id="1419713133">
              <w:marLeft w:val="0"/>
              <w:marRight w:val="0"/>
              <w:marTop w:val="0"/>
              <w:marBottom w:val="0"/>
              <w:divBdr>
                <w:top w:val="none" w:sz="0" w:space="0" w:color="auto"/>
                <w:left w:val="none" w:sz="0" w:space="0" w:color="auto"/>
                <w:bottom w:val="none" w:sz="0" w:space="0" w:color="auto"/>
                <w:right w:val="none" w:sz="0" w:space="0" w:color="auto"/>
              </w:divBdr>
            </w:div>
            <w:div w:id="1724021059">
              <w:marLeft w:val="567"/>
              <w:marRight w:val="0"/>
              <w:marTop w:val="120"/>
              <w:marBottom w:val="0"/>
              <w:divBdr>
                <w:top w:val="none" w:sz="0" w:space="0" w:color="auto"/>
                <w:left w:val="none" w:sz="0" w:space="0" w:color="auto"/>
                <w:bottom w:val="none" w:sz="0" w:space="0" w:color="auto"/>
                <w:right w:val="none" w:sz="0" w:space="0" w:color="auto"/>
              </w:divBdr>
            </w:div>
            <w:div w:id="580024131">
              <w:marLeft w:val="1021"/>
              <w:marRight w:val="0"/>
              <w:marTop w:val="0"/>
              <w:marBottom w:val="0"/>
              <w:divBdr>
                <w:top w:val="none" w:sz="0" w:space="0" w:color="auto"/>
                <w:left w:val="none" w:sz="0" w:space="0" w:color="auto"/>
                <w:bottom w:val="none" w:sz="0" w:space="0" w:color="auto"/>
                <w:right w:val="none" w:sz="0" w:space="0" w:color="auto"/>
              </w:divBdr>
            </w:div>
            <w:div w:id="2106993291">
              <w:marLeft w:val="1021"/>
              <w:marRight w:val="0"/>
              <w:marTop w:val="0"/>
              <w:marBottom w:val="0"/>
              <w:divBdr>
                <w:top w:val="none" w:sz="0" w:space="0" w:color="auto"/>
                <w:left w:val="none" w:sz="0" w:space="0" w:color="auto"/>
                <w:bottom w:val="none" w:sz="0" w:space="0" w:color="auto"/>
                <w:right w:val="none" w:sz="0" w:space="0" w:color="auto"/>
              </w:divBdr>
            </w:div>
            <w:div w:id="940531935">
              <w:marLeft w:val="567"/>
              <w:marRight w:val="0"/>
              <w:marTop w:val="120"/>
              <w:marBottom w:val="120"/>
              <w:divBdr>
                <w:top w:val="none" w:sz="0" w:space="0" w:color="auto"/>
                <w:left w:val="none" w:sz="0" w:space="0" w:color="auto"/>
                <w:bottom w:val="none" w:sz="0" w:space="0" w:color="auto"/>
                <w:right w:val="none" w:sz="0" w:space="0" w:color="auto"/>
              </w:divBdr>
            </w:div>
            <w:div w:id="1900436693">
              <w:marLeft w:val="567"/>
              <w:marRight w:val="0"/>
              <w:marTop w:val="120"/>
              <w:marBottom w:val="0"/>
              <w:divBdr>
                <w:top w:val="none" w:sz="0" w:space="0" w:color="auto"/>
                <w:left w:val="none" w:sz="0" w:space="0" w:color="auto"/>
                <w:bottom w:val="none" w:sz="0" w:space="0" w:color="auto"/>
                <w:right w:val="none" w:sz="0" w:space="0" w:color="auto"/>
              </w:divBdr>
            </w:div>
            <w:div w:id="2090955935">
              <w:marLeft w:val="0"/>
              <w:marRight w:val="0"/>
              <w:marTop w:val="120"/>
              <w:marBottom w:val="0"/>
              <w:divBdr>
                <w:top w:val="none" w:sz="0" w:space="0" w:color="auto"/>
                <w:left w:val="none" w:sz="0" w:space="0" w:color="auto"/>
                <w:bottom w:val="none" w:sz="0" w:space="0" w:color="auto"/>
                <w:right w:val="none" w:sz="0" w:space="0" w:color="auto"/>
              </w:divBdr>
            </w:div>
            <w:div w:id="644285541">
              <w:marLeft w:val="0"/>
              <w:marRight w:val="0"/>
              <w:marTop w:val="0"/>
              <w:marBottom w:val="0"/>
              <w:divBdr>
                <w:top w:val="none" w:sz="0" w:space="0" w:color="auto"/>
                <w:left w:val="none" w:sz="0" w:space="0" w:color="auto"/>
                <w:bottom w:val="none" w:sz="0" w:space="0" w:color="auto"/>
                <w:right w:val="none" w:sz="0" w:space="0" w:color="auto"/>
              </w:divBdr>
            </w:div>
            <w:div w:id="686755434">
              <w:marLeft w:val="567"/>
              <w:marRight w:val="0"/>
              <w:marTop w:val="120"/>
              <w:marBottom w:val="0"/>
              <w:divBdr>
                <w:top w:val="none" w:sz="0" w:space="0" w:color="auto"/>
                <w:left w:val="none" w:sz="0" w:space="0" w:color="auto"/>
                <w:bottom w:val="none" w:sz="0" w:space="0" w:color="auto"/>
                <w:right w:val="none" w:sz="0" w:space="0" w:color="auto"/>
              </w:divBdr>
            </w:div>
            <w:div w:id="111412278">
              <w:marLeft w:val="567"/>
              <w:marRight w:val="0"/>
              <w:marTop w:val="120"/>
              <w:marBottom w:val="0"/>
              <w:divBdr>
                <w:top w:val="none" w:sz="0" w:space="0" w:color="auto"/>
                <w:left w:val="none" w:sz="0" w:space="0" w:color="auto"/>
                <w:bottom w:val="none" w:sz="0" w:space="0" w:color="auto"/>
                <w:right w:val="none" w:sz="0" w:space="0" w:color="auto"/>
              </w:divBdr>
            </w:div>
            <w:div w:id="374280169">
              <w:marLeft w:val="567"/>
              <w:marRight w:val="0"/>
              <w:marTop w:val="120"/>
              <w:marBottom w:val="0"/>
              <w:divBdr>
                <w:top w:val="none" w:sz="0" w:space="0" w:color="auto"/>
                <w:left w:val="none" w:sz="0" w:space="0" w:color="auto"/>
                <w:bottom w:val="none" w:sz="0" w:space="0" w:color="auto"/>
                <w:right w:val="none" w:sz="0" w:space="0" w:color="auto"/>
              </w:divBdr>
            </w:div>
            <w:div w:id="1548225429">
              <w:marLeft w:val="0"/>
              <w:marRight w:val="0"/>
              <w:marTop w:val="0"/>
              <w:marBottom w:val="0"/>
              <w:divBdr>
                <w:top w:val="none" w:sz="0" w:space="0" w:color="auto"/>
                <w:left w:val="none" w:sz="0" w:space="0" w:color="auto"/>
                <w:bottom w:val="none" w:sz="0" w:space="0" w:color="auto"/>
                <w:right w:val="none" w:sz="0" w:space="0" w:color="auto"/>
              </w:divBdr>
            </w:div>
            <w:div w:id="1366755496">
              <w:marLeft w:val="0"/>
              <w:marRight w:val="0"/>
              <w:marTop w:val="0"/>
              <w:marBottom w:val="0"/>
              <w:divBdr>
                <w:top w:val="none" w:sz="0" w:space="0" w:color="auto"/>
                <w:left w:val="none" w:sz="0" w:space="0" w:color="auto"/>
                <w:bottom w:val="none" w:sz="0" w:space="0" w:color="auto"/>
                <w:right w:val="none" w:sz="0" w:space="0" w:color="auto"/>
              </w:divBdr>
            </w:div>
            <w:div w:id="535049365">
              <w:marLeft w:val="567"/>
              <w:marRight w:val="0"/>
              <w:marTop w:val="120"/>
              <w:marBottom w:val="0"/>
              <w:divBdr>
                <w:top w:val="none" w:sz="0" w:space="0" w:color="auto"/>
                <w:left w:val="none" w:sz="0" w:space="0" w:color="auto"/>
                <w:bottom w:val="none" w:sz="0" w:space="0" w:color="auto"/>
                <w:right w:val="none" w:sz="0" w:space="0" w:color="auto"/>
              </w:divBdr>
            </w:div>
            <w:div w:id="1248854524">
              <w:marLeft w:val="567"/>
              <w:marRight w:val="0"/>
              <w:marTop w:val="120"/>
              <w:marBottom w:val="0"/>
              <w:divBdr>
                <w:top w:val="none" w:sz="0" w:space="0" w:color="auto"/>
                <w:left w:val="none" w:sz="0" w:space="0" w:color="auto"/>
                <w:bottom w:val="none" w:sz="0" w:space="0" w:color="auto"/>
                <w:right w:val="none" w:sz="0" w:space="0" w:color="auto"/>
              </w:divBdr>
            </w:div>
            <w:div w:id="552542327">
              <w:marLeft w:val="0"/>
              <w:marRight w:val="0"/>
              <w:marTop w:val="0"/>
              <w:marBottom w:val="0"/>
              <w:divBdr>
                <w:top w:val="none" w:sz="0" w:space="0" w:color="auto"/>
                <w:left w:val="none" w:sz="0" w:space="0" w:color="auto"/>
                <w:bottom w:val="none" w:sz="0" w:space="0" w:color="auto"/>
                <w:right w:val="none" w:sz="0" w:space="0" w:color="auto"/>
              </w:divBdr>
            </w:div>
            <w:div w:id="83654799">
              <w:marLeft w:val="0"/>
              <w:marRight w:val="0"/>
              <w:marTop w:val="0"/>
              <w:marBottom w:val="0"/>
              <w:divBdr>
                <w:top w:val="none" w:sz="0" w:space="0" w:color="auto"/>
                <w:left w:val="none" w:sz="0" w:space="0" w:color="auto"/>
                <w:bottom w:val="none" w:sz="0" w:space="0" w:color="auto"/>
                <w:right w:val="none" w:sz="0" w:space="0" w:color="auto"/>
              </w:divBdr>
            </w:div>
            <w:div w:id="703864474">
              <w:marLeft w:val="0"/>
              <w:marRight w:val="0"/>
              <w:marTop w:val="120"/>
              <w:marBottom w:val="0"/>
              <w:divBdr>
                <w:top w:val="none" w:sz="0" w:space="0" w:color="auto"/>
                <w:left w:val="none" w:sz="0" w:space="0" w:color="auto"/>
                <w:bottom w:val="none" w:sz="0" w:space="0" w:color="auto"/>
                <w:right w:val="none" w:sz="0" w:space="0" w:color="auto"/>
              </w:divBdr>
            </w:div>
            <w:div w:id="34426698">
              <w:marLeft w:val="0"/>
              <w:marRight w:val="0"/>
              <w:marTop w:val="0"/>
              <w:marBottom w:val="0"/>
              <w:divBdr>
                <w:top w:val="none" w:sz="0" w:space="0" w:color="auto"/>
                <w:left w:val="none" w:sz="0" w:space="0" w:color="auto"/>
                <w:bottom w:val="none" w:sz="0" w:space="0" w:color="auto"/>
                <w:right w:val="none" w:sz="0" w:space="0" w:color="auto"/>
              </w:divBdr>
            </w:div>
            <w:div w:id="1678538832">
              <w:marLeft w:val="0"/>
              <w:marRight w:val="0"/>
              <w:marTop w:val="0"/>
              <w:marBottom w:val="0"/>
              <w:divBdr>
                <w:top w:val="none" w:sz="0" w:space="0" w:color="auto"/>
                <w:left w:val="none" w:sz="0" w:space="0" w:color="auto"/>
                <w:bottom w:val="none" w:sz="0" w:space="0" w:color="auto"/>
                <w:right w:val="none" w:sz="0" w:space="0" w:color="auto"/>
              </w:divBdr>
            </w:div>
            <w:div w:id="896428905">
              <w:marLeft w:val="0"/>
              <w:marRight w:val="0"/>
              <w:marTop w:val="120"/>
              <w:marBottom w:val="0"/>
              <w:divBdr>
                <w:top w:val="none" w:sz="0" w:space="0" w:color="auto"/>
                <w:left w:val="none" w:sz="0" w:space="0" w:color="auto"/>
                <w:bottom w:val="none" w:sz="0" w:space="0" w:color="auto"/>
                <w:right w:val="none" w:sz="0" w:space="0" w:color="auto"/>
              </w:divBdr>
            </w:div>
          </w:divsChild>
        </w:div>
        <w:div w:id="1361858642">
          <w:marLeft w:val="0"/>
          <w:marRight w:val="0"/>
          <w:marTop w:val="0"/>
          <w:marBottom w:val="0"/>
          <w:divBdr>
            <w:top w:val="none" w:sz="0" w:space="0" w:color="auto"/>
            <w:left w:val="none" w:sz="0" w:space="0" w:color="auto"/>
            <w:bottom w:val="none" w:sz="0" w:space="0" w:color="auto"/>
            <w:right w:val="none" w:sz="0" w:space="0" w:color="auto"/>
          </w:divBdr>
          <w:divsChild>
            <w:div w:id="1295023745">
              <w:marLeft w:val="0"/>
              <w:marRight w:val="0"/>
              <w:marTop w:val="0"/>
              <w:marBottom w:val="0"/>
              <w:divBdr>
                <w:top w:val="none" w:sz="0" w:space="0" w:color="auto"/>
                <w:left w:val="none" w:sz="0" w:space="0" w:color="auto"/>
                <w:bottom w:val="none" w:sz="0" w:space="0" w:color="auto"/>
                <w:right w:val="none" w:sz="0" w:space="0" w:color="auto"/>
              </w:divBdr>
            </w:div>
          </w:divsChild>
        </w:div>
        <w:div w:id="180050431">
          <w:marLeft w:val="0"/>
          <w:marRight w:val="0"/>
          <w:marTop w:val="0"/>
          <w:marBottom w:val="0"/>
          <w:divBdr>
            <w:top w:val="none" w:sz="0" w:space="0" w:color="auto"/>
            <w:left w:val="none" w:sz="0" w:space="0" w:color="auto"/>
            <w:bottom w:val="none" w:sz="0" w:space="0" w:color="auto"/>
            <w:right w:val="none" w:sz="0" w:space="0" w:color="auto"/>
          </w:divBdr>
        </w:div>
        <w:div w:id="471949152">
          <w:marLeft w:val="0"/>
          <w:marRight w:val="0"/>
          <w:marTop w:val="0"/>
          <w:marBottom w:val="0"/>
          <w:divBdr>
            <w:top w:val="none" w:sz="0" w:space="0" w:color="auto"/>
            <w:left w:val="none" w:sz="0" w:space="0" w:color="auto"/>
            <w:bottom w:val="none" w:sz="0" w:space="0" w:color="auto"/>
            <w:right w:val="none" w:sz="0" w:space="0" w:color="auto"/>
          </w:divBdr>
        </w:div>
        <w:div w:id="419915568">
          <w:marLeft w:val="0"/>
          <w:marRight w:val="0"/>
          <w:marTop w:val="0"/>
          <w:marBottom w:val="0"/>
          <w:divBdr>
            <w:top w:val="none" w:sz="0" w:space="0" w:color="auto"/>
            <w:left w:val="none" w:sz="0" w:space="0" w:color="auto"/>
            <w:bottom w:val="none" w:sz="0" w:space="0" w:color="auto"/>
            <w:right w:val="none" w:sz="0" w:space="0" w:color="auto"/>
          </w:divBdr>
        </w:div>
        <w:div w:id="1207909876">
          <w:marLeft w:val="0"/>
          <w:marRight w:val="0"/>
          <w:marTop w:val="0"/>
          <w:marBottom w:val="0"/>
          <w:divBdr>
            <w:top w:val="none" w:sz="0" w:space="0" w:color="auto"/>
            <w:left w:val="none" w:sz="0" w:space="0" w:color="auto"/>
            <w:bottom w:val="none" w:sz="0" w:space="0" w:color="auto"/>
            <w:right w:val="none" w:sz="0" w:space="0" w:color="auto"/>
          </w:divBdr>
        </w:div>
        <w:div w:id="1379012427">
          <w:marLeft w:val="0"/>
          <w:marRight w:val="0"/>
          <w:marTop w:val="0"/>
          <w:marBottom w:val="0"/>
          <w:divBdr>
            <w:top w:val="none" w:sz="0" w:space="0" w:color="auto"/>
            <w:left w:val="none" w:sz="0" w:space="0" w:color="auto"/>
            <w:bottom w:val="none" w:sz="0" w:space="0" w:color="auto"/>
            <w:right w:val="none" w:sz="0" w:space="0" w:color="auto"/>
          </w:divBdr>
        </w:div>
        <w:div w:id="726415210">
          <w:marLeft w:val="0"/>
          <w:marRight w:val="0"/>
          <w:marTop w:val="0"/>
          <w:marBottom w:val="0"/>
          <w:divBdr>
            <w:top w:val="none" w:sz="0" w:space="0" w:color="auto"/>
            <w:left w:val="none" w:sz="0" w:space="0" w:color="auto"/>
            <w:bottom w:val="none" w:sz="0" w:space="0" w:color="auto"/>
            <w:right w:val="none" w:sz="0" w:space="0" w:color="auto"/>
          </w:divBdr>
        </w:div>
      </w:divsChild>
    </w:div>
    <w:div w:id="1595741237">
      <w:bodyDiv w:val="1"/>
      <w:marLeft w:val="0"/>
      <w:marRight w:val="0"/>
      <w:marTop w:val="0"/>
      <w:marBottom w:val="0"/>
      <w:divBdr>
        <w:top w:val="none" w:sz="0" w:space="0" w:color="auto"/>
        <w:left w:val="none" w:sz="0" w:space="0" w:color="auto"/>
        <w:bottom w:val="none" w:sz="0" w:space="0" w:color="auto"/>
        <w:right w:val="none" w:sz="0" w:space="0" w:color="auto"/>
      </w:divBdr>
    </w:div>
    <w:div w:id="1986542683">
      <w:bodyDiv w:val="1"/>
      <w:marLeft w:val="0"/>
      <w:marRight w:val="0"/>
      <w:marTop w:val="0"/>
      <w:marBottom w:val="0"/>
      <w:divBdr>
        <w:top w:val="none" w:sz="0" w:space="0" w:color="auto"/>
        <w:left w:val="none" w:sz="0" w:space="0" w:color="auto"/>
        <w:bottom w:val="none" w:sz="0" w:space="0" w:color="auto"/>
        <w:right w:val="none" w:sz="0" w:space="0" w:color="auto"/>
      </w:divBdr>
    </w:div>
    <w:div w:id="2107194169">
      <w:bodyDiv w:val="1"/>
      <w:marLeft w:val="0"/>
      <w:marRight w:val="0"/>
      <w:marTop w:val="0"/>
      <w:marBottom w:val="0"/>
      <w:divBdr>
        <w:top w:val="none" w:sz="0" w:space="0" w:color="auto"/>
        <w:left w:val="none" w:sz="0" w:space="0" w:color="auto"/>
        <w:bottom w:val="none" w:sz="0" w:space="0" w:color="auto"/>
        <w:right w:val="none" w:sz="0" w:space="0" w:color="auto"/>
      </w:divBdr>
      <w:divsChild>
        <w:div w:id="414783317">
          <w:marLeft w:val="0"/>
          <w:marRight w:val="0"/>
          <w:marTop w:val="0"/>
          <w:marBottom w:val="0"/>
          <w:divBdr>
            <w:top w:val="none" w:sz="0" w:space="0" w:color="auto"/>
            <w:left w:val="none" w:sz="0" w:space="0" w:color="auto"/>
            <w:bottom w:val="none" w:sz="0" w:space="0" w:color="auto"/>
            <w:right w:val="none" w:sz="0" w:space="0" w:color="auto"/>
          </w:divBdr>
        </w:div>
        <w:div w:id="756754498">
          <w:marLeft w:val="0"/>
          <w:marRight w:val="0"/>
          <w:marTop w:val="0"/>
          <w:marBottom w:val="0"/>
          <w:divBdr>
            <w:top w:val="none" w:sz="0" w:space="0" w:color="auto"/>
            <w:left w:val="none" w:sz="0" w:space="0" w:color="auto"/>
            <w:bottom w:val="none" w:sz="0" w:space="0" w:color="auto"/>
            <w:right w:val="none" w:sz="0" w:space="0" w:color="auto"/>
          </w:divBdr>
        </w:div>
      </w:divsChild>
    </w:div>
    <w:div w:id="2127314251">
      <w:bodyDiv w:val="1"/>
      <w:marLeft w:val="0"/>
      <w:marRight w:val="0"/>
      <w:marTop w:val="0"/>
      <w:marBottom w:val="0"/>
      <w:divBdr>
        <w:top w:val="none" w:sz="0" w:space="0" w:color="auto"/>
        <w:left w:val="none" w:sz="0" w:space="0" w:color="auto"/>
        <w:bottom w:val="none" w:sz="0" w:space="0" w:color="auto"/>
        <w:right w:val="none" w:sz="0" w:space="0" w:color="auto"/>
      </w:divBdr>
      <w:divsChild>
        <w:div w:id="678505147">
          <w:marLeft w:val="0"/>
          <w:marRight w:val="0"/>
          <w:marTop w:val="0"/>
          <w:marBottom w:val="0"/>
          <w:divBdr>
            <w:top w:val="none" w:sz="0" w:space="0" w:color="auto"/>
            <w:left w:val="none" w:sz="0" w:space="0" w:color="auto"/>
            <w:bottom w:val="none" w:sz="0" w:space="0" w:color="auto"/>
            <w:right w:val="none" w:sz="0" w:space="0" w:color="auto"/>
          </w:divBdr>
        </w:div>
        <w:div w:id="1675187987">
          <w:marLeft w:val="0"/>
          <w:marRight w:val="0"/>
          <w:marTop w:val="0"/>
          <w:marBottom w:val="0"/>
          <w:divBdr>
            <w:top w:val="none" w:sz="0" w:space="0" w:color="auto"/>
            <w:left w:val="none" w:sz="0" w:space="0" w:color="auto"/>
            <w:bottom w:val="none" w:sz="0" w:space="0" w:color="auto"/>
            <w:right w:val="none" w:sz="0" w:space="0" w:color="auto"/>
          </w:divBdr>
        </w:div>
        <w:div w:id="511381917">
          <w:marLeft w:val="0"/>
          <w:marRight w:val="0"/>
          <w:marTop w:val="0"/>
          <w:marBottom w:val="0"/>
          <w:divBdr>
            <w:top w:val="none" w:sz="0" w:space="0" w:color="auto"/>
            <w:left w:val="none" w:sz="0" w:space="0" w:color="auto"/>
            <w:bottom w:val="none" w:sz="0" w:space="0" w:color="auto"/>
            <w:right w:val="none" w:sz="0" w:space="0" w:color="auto"/>
          </w:divBdr>
        </w:div>
        <w:div w:id="1411923281">
          <w:marLeft w:val="0"/>
          <w:marRight w:val="0"/>
          <w:marTop w:val="0"/>
          <w:marBottom w:val="0"/>
          <w:divBdr>
            <w:top w:val="none" w:sz="0" w:space="0" w:color="auto"/>
            <w:left w:val="none" w:sz="0" w:space="0" w:color="auto"/>
            <w:bottom w:val="none" w:sz="0" w:space="0" w:color="auto"/>
            <w:right w:val="none" w:sz="0" w:space="0" w:color="auto"/>
          </w:divBdr>
        </w:div>
        <w:div w:id="203727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802</Words>
  <Characters>4732</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 Gladišová</dc:creator>
  <cp:keywords/>
  <dc:description/>
  <cp:lastModifiedBy>Barča Gladišová</cp:lastModifiedBy>
  <cp:revision>2</cp:revision>
  <dcterms:created xsi:type="dcterms:W3CDTF">2020-08-11T09:25:00Z</dcterms:created>
  <dcterms:modified xsi:type="dcterms:W3CDTF">2020-08-11T09:25:00Z</dcterms:modified>
</cp:coreProperties>
</file>